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5401D" w:rsidR="003E65B3" w:rsidP="0085401D" w:rsidRDefault="003E65B3" w14:paraId="31D2FA72" w14:textId="17438CF0">
      <w:pPr>
        <w:spacing w:line="240" w:lineRule="auto"/>
        <w:jc w:val="center"/>
        <w:rPr>
          <w:b/>
          <w:bCs/>
        </w:rPr>
      </w:pPr>
      <w:r w:rsidRPr="0085401D">
        <w:rPr>
          <w:b/>
          <w:bCs/>
        </w:rPr>
        <w:t>Indicative Costs to Contributors for the HNS Fund Secretariat</w:t>
      </w:r>
    </w:p>
    <w:p w:rsidR="0085401D" w:rsidP="0085401D" w:rsidRDefault="0085401D" w14:paraId="11FFA402" w14:textId="77777777">
      <w:pPr>
        <w:spacing w:line="240" w:lineRule="auto"/>
      </w:pPr>
    </w:p>
    <w:p w:rsidR="00516E3F" w:rsidP="008F4D87" w:rsidRDefault="003E65B3" w14:paraId="49AE7320" w14:textId="79B88B1C">
      <w:pPr>
        <w:spacing w:line="240" w:lineRule="auto"/>
        <w:jc w:val="both"/>
      </w:pPr>
      <w:r>
        <w:t xml:space="preserve">States considering accession to the 2010 HNS Convention often request information on the anticipated costs of administering the HNS Fund once the Convention enters into force. </w:t>
      </w:r>
      <w:r w:rsidRPr="003C267E" w:rsidR="003C267E">
        <w:t xml:space="preserve">This note sets out indicative figures based on current Secretariat costs. </w:t>
      </w:r>
      <w:r w:rsidR="003C267E">
        <w:t>However, the f</w:t>
      </w:r>
      <w:r w:rsidRPr="003C267E" w:rsidR="003C267E">
        <w:t xml:space="preserve">inal amounts and frequency </w:t>
      </w:r>
      <w:r w:rsidR="0059633D">
        <w:t>will be</w:t>
      </w:r>
      <w:r w:rsidRPr="003C267E" w:rsidR="003C267E">
        <w:t xml:space="preserve"> decided by the HNS Fund Assembly</w:t>
      </w:r>
      <w:r w:rsidR="003C267E">
        <w:t>, comprised of representatives of the States that are parties to the Convention</w:t>
      </w:r>
      <w:r w:rsidRPr="003C267E" w:rsidR="003C267E">
        <w:t>.</w:t>
      </w:r>
      <w:r w:rsidR="003C267E">
        <w:t xml:space="preserve"> </w:t>
      </w:r>
      <w:r>
        <w:t xml:space="preserve">Prospectively estimating </w:t>
      </w:r>
      <w:r w:rsidR="0059633D">
        <w:t xml:space="preserve">the cost of operating the HNS Fund is challenging due to several unknowns, including </w:t>
      </w:r>
      <w:r w:rsidR="00C374BE">
        <w:t>the number of contributors</w:t>
      </w:r>
      <w:r w:rsidR="0059633D">
        <w:t>, cargo volumes, and the types</w:t>
      </w:r>
      <w:r>
        <w:t xml:space="preserve"> and severity of potential incidents.  </w:t>
      </w:r>
    </w:p>
    <w:p w:rsidR="00947872" w:rsidP="003C267E" w:rsidRDefault="003E65B3" w14:paraId="2CC15AA8" w14:textId="14610CE0">
      <w:pPr>
        <w:spacing w:line="240" w:lineRule="auto"/>
        <w:jc w:val="both"/>
      </w:pPr>
      <w:r>
        <w:t>At the outset</w:t>
      </w:r>
      <w:r w:rsidR="008F4D87">
        <w:t xml:space="preserve">, </w:t>
      </w:r>
      <w:r>
        <w:t xml:space="preserve">it is important to recall that the HNS Fund </w:t>
      </w:r>
      <w:r w:rsidR="00F16876">
        <w:t>will</w:t>
      </w:r>
      <w:r>
        <w:t xml:space="preserve"> share administration and office space with the IOPC Funds Secretariat in London, using the same Director and leveraging existing systems and infrastructure. This arrangement will </w:t>
      </w:r>
      <w:r w:rsidR="000635EE">
        <w:t>minimise setup costs and require only a small number of additional staff to administer the Convention,</w:t>
      </w:r>
      <w:r>
        <w:t xml:space="preserve"> thanks to the expertise already present within the Secretariat. </w:t>
      </w:r>
    </w:p>
    <w:p w:rsidR="00ED6F04" w:rsidP="00516E3F" w:rsidRDefault="003E65B3" w14:paraId="03CFA004" w14:textId="194DDB31">
      <w:pPr>
        <w:spacing w:line="240" w:lineRule="auto"/>
        <w:rPr>
          <w:b/>
          <w:bCs/>
        </w:rPr>
      </w:pPr>
      <w:r w:rsidRPr="00947872">
        <w:rPr>
          <w:b/>
          <w:bCs/>
        </w:rPr>
        <w:t>Types of Levies</w:t>
      </w:r>
    </w:p>
    <w:p w:rsidR="00DF7EBE" w:rsidP="00031666" w:rsidRDefault="003E65B3" w14:paraId="4E0E28C7" w14:textId="77777777">
      <w:pPr>
        <w:spacing w:line="240" w:lineRule="auto"/>
        <w:jc w:val="both"/>
      </w:pPr>
      <w:r>
        <w:t>Activities to support the operation of the HNS Fund will be funded from two different</w:t>
      </w:r>
      <w:r w:rsidR="00ED6F04">
        <w:t xml:space="preserve"> </w:t>
      </w:r>
      <w:r>
        <w:t xml:space="preserve">levies: </w:t>
      </w:r>
    </w:p>
    <w:p w:rsidR="00C077A1" w:rsidP="00DF7EBE" w:rsidRDefault="00DF7EBE" w14:paraId="31472E36" w14:textId="785387D6">
      <w:pPr>
        <w:pStyle w:val="ListParagraph"/>
        <w:numPr>
          <w:ilvl w:val="0"/>
          <w:numId w:val="2"/>
        </w:numPr>
        <w:spacing w:line="240" w:lineRule="auto"/>
        <w:jc w:val="both"/>
      </w:pPr>
      <w:r w:rsidRPr="00511D08">
        <w:rPr>
          <w:b/>
          <w:bCs/>
        </w:rPr>
        <w:t>I</w:t>
      </w:r>
      <w:r w:rsidRPr="00511D08" w:rsidR="003E65B3">
        <w:rPr>
          <w:b/>
          <w:bCs/>
        </w:rPr>
        <w:t>nitial contribution</w:t>
      </w:r>
      <w:r w:rsidR="00C077A1">
        <w:t>: o</w:t>
      </w:r>
      <w:r w:rsidRPr="00C077A1" w:rsidR="00C077A1">
        <w:t>ne-off, paid by contributors in each State on becoming a Party.</w:t>
      </w:r>
      <w:r w:rsidR="00C077A1">
        <w:t xml:space="preserve"> </w:t>
      </w:r>
      <w:r w:rsidR="00511D08">
        <w:t>It c</w:t>
      </w:r>
      <w:r w:rsidRPr="00C077A1" w:rsidR="00C077A1">
        <w:t xml:space="preserve">overs </w:t>
      </w:r>
      <w:r w:rsidR="00C374BE">
        <w:t>the Secretariat setup, working capital, and repayment of the loan from the 1992 Fund, which</w:t>
      </w:r>
      <w:r w:rsidRPr="00C077A1" w:rsidR="00C077A1">
        <w:t xml:space="preserve"> has financed HNS-related activities since 201</w:t>
      </w:r>
      <w:r w:rsidR="00511D08">
        <w:t>1.</w:t>
      </w:r>
    </w:p>
    <w:p w:rsidRPr="00031666" w:rsidR="00DC270F" w:rsidP="00031666" w:rsidRDefault="00DF7EBE" w14:paraId="41D83195" w14:textId="386D0AAD">
      <w:pPr>
        <w:pStyle w:val="ListParagraph"/>
        <w:numPr>
          <w:ilvl w:val="0"/>
          <w:numId w:val="2"/>
        </w:numPr>
        <w:spacing w:line="240" w:lineRule="auto"/>
        <w:jc w:val="both"/>
      </w:pPr>
      <w:r w:rsidRPr="00511D08">
        <w:rPr>
          <w:b/>
          <w:bCs/>
        </w:rPr>
        <w:t>A</w:t>
      </w:r>
      <w:r w:rsidRPr="00511D08" w:rsidR="003E65B3">
        <w:rPr>
          <w:b/>
          <w:bCs/>
        </w:rPr>
        <w:t>nnual contributions</w:t>
      </w:r>
      <w:r w:rsidR="00511D08">
        <w:t>: p</w:t>
      </w:r>
      <w:r w:rsidRPr="00511D08" w:rsidR="00511D08">
        <w:t>aid only if required, decided each year by the Assembly. Cover ongoing running costs and compensation</w:t>
      </w:r>
      <w:r w:rsidR="00511D08">
        <w:t xml:space="preserve"> </w:t>
      </w:r>
      <w:r w:rsidR="003E65B3">
        <w:t xml:space="preserve">to victims in the event of HNS incidents. </w:t>
      </w:r>
    </w:p>
    <w:p w:rsidR="00ED6F04" w:rsidP="00516E3F" w:rsidRDefault="00031666" w14:paraId="3D1F882A" w14:textId="7C3F407A">
      <w:pPr>
        <w:spacing w:line="240" w:lineRule="auto"/>
      </w:pPr>
      <w:r>
        <w:rPr>
          <w:noProof/>
        </w:rPr>
        <w:drawing>
          <wp:inline distT="0" distB="0" distL="0" distR="0" wp14:anchorId="31B70DAE" wp14:editId="3A3E88F1">
            <wp:extent cx="5989320" cy="1035874"/>
            <wp:effectExtent l="0" t="0" r="0" b="0"/>
            <wp:docPr id="270551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2068" cy="1043267"/>
                    </a:xfrm>
                    <a:prstGeom prst="rect">
                      <a:avLst/>
                    </a:prstGeom>
                    <a:noFill/>
                  </pic:spPr>
                </pic:pic>
              </a:graphicData>
            </a:graphic>
          </wp:inline>
        </w:drawing>
      </w:r>
    </w:p>
    <w:p w:rsidR="00D93E8D" w:rsidP="00516E3F" w:rsidRDefault="00D93E8D" w14:paraId="7C323903" w14:textId="77777777">
      <w:pPr>
        <w:spacing w:line="240" w:lineRule="auto"/>
      </w:pPr>
    </w:p>
    <w:p w:rsidRPr="00F86BD1" w:rsidR="00ED6F04" w:rsidP="00F86BD1" w:rsidRDefault="003E65B3" w14:paraId="499695D3" w14:textId="3A0ABF4A">
      <w:pPr>
        <w:pStyle w:val="ListParagraph"/>
        <w:numPr>
          <w:ilvl w:val="0"/>
          <w:numId w:val="1"/>
        </w:numPr>
        <w:spacing w:line="240" w:lineRule="auto"/>
        <w:rPr>
          <w:b/>
          <w:bCs/>
        </w:rPr>
      </w:pPr>
      <w:r w:rsidRPr="00F86BD1">
        <w:rPr>
          <w:b/>
          <w:bCs/>
        </w:rPr>
        <w:t>Initial Contributions</w:t>
      </w:r>
    </w:p>
    <w:p w:rsidR="00D93E8D" w:rsidP="59A5ABF8" w:rsidRDefault="003E65B3" w14:paraId="0E5F621A" w14:textId="0B7CAA5B">
      <w:pPr>
        <w:spacing w:line="240" w:lineRule="auto"/>
        <w:jc w:val="both"/>
      </w:pPr>
      <w:r>
        <w:t>Initial contributions will cover the setup costs for the HNS Secretariat, working capital for the HNS Fund to operate</w:t>
      </w:r>
      <w:r w:rsidR="000635EE">
        <w:t>, and repayment of the loan from the 1992 Fund, which</w:t>
      </w:r>
      <w:r>
        <w:t xml:space="preserve"> has financed </w:t>
      </w:r>
      <w:r w:rsidR="000635EE">
        <w:t>HNS-related</w:t>
      </w:r>
      <w:r>
        <w:t xml:space="preserve"> activities since 2011. The amount of initial contributions will be set by the HNS Fund Assembly and paid by contributors in each State that becomes a party to the Convention</w:t>
      </w:r>
      <w:r w:rsidR="000635EE">
        <w:t>, regardless of when the State joins, so as not to</w:t>
      </w:r>
      <w:r w:rsidR="00947872">
        <w:t xml:space="preserve"> penalise early joiners</w:t>
      </w:r>
      <w:r>
        <w:t xml:space="preserve">. The initial levy will be a fixed amount per unit of contributing cargo. </w:t>
      </w:r>
    </w:p>
    <w:p w:rsidR="59A5ABF8" w:rsidP="59A5ABF8" w:rsidRDefault="59A5ABF8" w14:paraId="789160F5" w14:textId="56DAC9B1">
      <w:pPr>
        <w:spacing w:line="240" w:lineRule="auto"/>
        <w:jc w:val="both"/>
      </w:pPr>
    </w:p>
    <w:p w:rsidR="59A5ABF8" w:rsidP="59A5ABF8" w:rsidRDefault="59A5ABF8" w14:paraId="0D05AEB2" w14:textId="469320CB">
      <w:pPr>
        <w:spacing w:line="240" w:lineRule="auto"/>
        <w:jc w:val="both"/>
      </w:pPr>
    </w:p>
    <w:p w:rsidR="59A5ABF8" w:rsidP="59A5ABF8" w:rsidRDefault="59A5ABF8" w14:paraId="7EACF9C1" w14:textId="2F785B30">
      <w:pPr>
        <w:spacing w:line="240" w:lineRule="auto"/>
        <w:jc w:val="both"/>
      </w:pPr>
    </w:p>
    <w:p w:rsidRPr="008251F1" w:rsidR="001E6C4D" w:rsidP="59A5ABF8" w:rsidRDefault="003E65B3" w14:paraId="407EEDF9" w14:textId="72E67C0B">
      <w:pPr>
        <w:spacing w:line="240" w:lineRule="auto"/>
      </w:pPr>
      <w:r w:rsidRPr="59A5ABF8">
        <w:rPr>
          <w:b/>
          <w:bCs/>
        </w:rPr>
        <w:t>Apportionment of the Initial Levy</w:t>
      </w:r>
    </w:p>
    <w:p w:rsidRPr="008251F1" w:rsidR="001E6C4D" w:rsidP="75EFA4A5" w:rsidRDefault="003E65B3" w14:paraId="60687514" w14:textId="3ECED8A3">
      <w:pPr>
        <w:pStyle w:val="Normal"/>
        <w:suppressLineNumbers w:val="0"/>
        <w:bidi w:val="0"/>
        <w:spacing w:before="0" w:beforeAutospacing="off" w:after="160" w:afterAutospacing="off" w:line="240" w:lineRule="auto"/>
        <w:ind w:left="0" w:right="0"/>
        <w:jc w:val="both"/>
      </w:pPr>
      <w:r w:rsidR="003E65B3">
        <w:rPr/>
        <w:t xml:space="preserve">The initial </w:t>
      </w:r>
      <w:r w:rsidR="003E65B3">
        <w:rPr/>
        <w:t>levy</w:t>
      </w:r>
      <w:r w:rsidR="003E65B3">
        <w:rPr/>
        <w:t xml:space="preserve"> is expected to be </w:t>
      </w:r>
      <w:r w:rsidR="02934CA7">
        <w:rPr/>
        <w:t>apportioned</w:t>
      </w:r>
      <w:r w:rsidR="003E65B3">
        <w:rPr/>
        <w:t xml:space="preserve"> by dividing the amount that needs to be levied to start the Fund’s operations by the total amount of contributing cargo received from all contributors the year before the Convention enters into force</w:t>
      </w:r>
      <w:r w:rsidR="00075638">
        <w:rPr/>
        <w:t>, i.e. in 2026</w:t>
      </w:r>
      <w:r w:rsidR="003E65B3">
        <w:rPr/>
        <w:t xml:space="preserve">. This gives the levy rate. </w:t>
      </w:r>
      <w:r w:rsidR="00AF6822">
        <w:rPr/>
        <w:t xml:space="preserve">Each contributor pays the rate multiplied by their cargo volume </w:t>
      </w:r>
      <w:r w:rsidR="003E65B3">
        <w:rPr/>
        <w:t xml:space="preserve">received in the year before the Convention enters into force for their State. States that become parties after the Convention has entered into force </w:t>
      </w:r>
      <w:r w:rsidR="008251F1">
        <w:rPr/>
        <w:t xml:space="preserve">must also </w:t>
      </w:r>
      <w:r w:rsidR="003E65B3">
        <w:rPr/>
        <w:t>pay initial contributions. These are expected</w:t>
      </w:r>
      <w:r w:rsidR="00697E6B">
        <w:rPr/>
        <w:t xml:space="preserve"> to</w:t>
      </w:r>
      <w:r w:rsidR="003E65B3">
        <w:rPr/>
        <w:t xml:space="preserve"> </w:t>
      </w:r>
      <w:r w:rsidR="00697E6B">
        <w:rPr/>
        <w:t xml:space="preserve">pay the same rate, applied to their first reporting year. </w:t>
      </w:r>
    </w:p>
    <w:p w:rsidRPr="00F86BD1" w:rsidR="0061102E" w:rsidP="00516E3F" w:rsidRDefault="003E65B3" w14:paraId="62EF866C" w14:textId="1387EBA9">
      <w:pPr>
        <w:spacing w:line="240" w:lineRule="auto"/>
        <w:rPr>
          <w:b/>
          <w:bCs/>
        </w:rPr>
      </w:pPr>
      <w:r w:rsidRPr="00F86BD1">
        <w:rPr>
          <w:b/>
          <w:bCs/>
        </w:rPr>
        <w:t xml:space="preserve">Indicative Initial Levy </w:t>
      </w:r>
    </w:p>
    <w:p w:rsidR="003E65B3" w:rsidP="59A5ABF8" w:rsidRDefault="52477AF5" w14:paraId="41CF2B03" w14:textId="307ABF23">
      <w:pPr>
        <w:spacing w:line="240" w:lineRule="auto"/>
        <w:jc w:val="both"/>
      </w:pPr>
      <w:r w:rsidR="52477AF5">
        <w:rPr/>
        <w:t>T</w:t>
      </w:r>
      <w:r w:rsidR="19899312">
        <w:rPr/>
        <w:t xml:space="preserve">he Secretariat </w:t>
      </w:r>
      <w:r w:rsidR="19899312">
        <w:rPr/>
        <w:t>anticipates</w:t>
      </w:r>
      <w:r w:rsidR="19899312">
        <w:rPr/>
        <w:t xml:space="preserve"> that the costs of </w:t>
      </w:r>
      <w:r w:rsidR="19899312">
        <w:rPr/>
        <w:t>establishing</w:t>
      </w:r>
      <w:r w:rsidR="19899312">
        <w:rPr/>
        <w:t xml:space="preserve"> the HNS Fund</w:t>
      </w:r>
      <w:r w:rsidR="416A67CE">
        <w:rPr/>
        <w:t xml:space="preserve"> </w:t>
      </w:r>
      <w:r w:rsidR="19899312">
        <w:rPr/>
        <w:t>will be in the range of £</w:t>
      </w:r>
      <w:r w:rsidR="11DAF244">
        <w:rPr/>
        <w:t>5</w:t>
      </w:r>
      <w:r w:rsidR="2A154C4B">
        <w:rPr/>
        <w:t>-</w:t>
      </w:r>
      <w:r w:rsidR="19899312">
        <w:rPr/>
        <w:t>£</w:t>
      </w:r>
      <w:r w:rsidR="18CD9AAA">
        <w:rPr/>
        <w:t>7</w:t>
      </w:r>
      <w:r w:rsidR="19899312">
        <w:rPr/>
        <w:t xml:space="preserve"> million.</w:t>
      </w:r>
      <w:r w:rsidRPr="59A5ABF8" w:rsidR="00C374BE">
        <w:rPr>
          <w:rStyle w:val="FootnoteReference"/>
        </w:rPr>
        <w:footnoteReference w:id="1"/>
      </w:r>
      <w:r w:rsidR="08DFBDF5">
        <w:rPr/>
        <w:t xml:space="preserve"> </w:t>
      </w:r>
      <w:r w:rsidR="19899312">
        <w:rPr/>
        <w:t xml:space="preserve"> Based on reports provided by current Contracting States to the HNS Convention and projected figures for States that have committed to become parties, the estimated total contributing cargo at entry into force is between </w:t>
      </w:r>
      <w:r w:rsidR="78F7C4AE">
        <w:rPr/>
        <w:t>50</w:t>
      </w:r>
      <w:r w:rsidR="19899312">
        <w:rPr/>
        <w:t xml:space="preserve">0 million and </w:t>
      </w:r>
      <w:r w:rsidR="78F7C4AE">
        <w:rPr/>
        <w:t>60</w:t>
      </w:r>
      <w:r w:rsidR="19899312">
        <w:rPr/>
        <w:t xml:space="preserve">0 million tonnes. This scenario would yield a range of potential </w:t>
      </w:r>
      <w:r w:rsidR="19899312">
        <w:rPr/>
        <w:t>initial</w:t>
      </w:r>
      <w:r w:rsidR="19899312">
        <w:rPr/>
        <w:t xml:space="preserve"> </w:t>
      </w:r>
      <w:r w:rsidR="19899312">
        <w:rPr/>
        <w:t>lev</w:t>
      </w:r>
      <w:r w:rsidR="27A023F3">
        <w:rPr/>
        <w:t xml:space="preserve">y rate </w:t>
      </w:r>
      <w:r w:rsidR="19899312">
        <w:rPr/>
        <w:t>from £0.0</w:t>
      </w:r>
      <w:r w:rsidR="7FC9AEEA">
        <w:rPr/>
        <w:t>083</w:t>
      </w:r>
      <w:r w:rsidR="19899312">
        <w:rPr/>
        <w:t xml:space="preserve"> per tonne at the low end to £0.0</w:t>
      </w:r>
      <w:r w:rsidR="34AAE760">
        <w:rPr/>
        <w:t xml:space="preserve">14 </w:t>
      </w:r>
      <w:r w:rsidR="19899312">
        <w:rPr/>
        <w:t>per tonne at the high end</w:t>
      </w:r>
      <w:r w:rsidR="19899312">
        <w:rPr/>
        <w:t xml:space="preserve">.  </w:t>
      </w:r>
    </w:p>
    <w:p w:rsidR="00CB22D0" w:rsidP="001F3A13" w:rsidRDefault="003E65B3" w14:paraId="10378499" w14:textId="61BCDDA8">
      <w:pPr>
        <w:spacing w:line="240" w:lineRule="auto"/>
        <w:jc w:val="both"/>
      </w:pPr>
      <w:r w:rsidR="003E65B3">
        <w:rPr/>
        <w:t>Using a median estimated levy amount of £</w:t>
      </w:r>
      <w:r w:rsidR="44909CB6">
        <w:rPr/>
        <w:t>6</w:t>
      </w:r>
      <w:r w:rsidR="003E65B3">
        <w:rPr/>
        <w:t xml:space="preserve"> million and median estimated contributing cargo of </w:t>
      </w:r>
      <w:r w:rsidR="00F11468">
        <w:rPr/>
        <w:t>550</w:t>
      </w:r>
      <w:r w:rsidR="003E65B3">
        <w:rPr/>
        <w:t xml:space="preserve"> million tonnes, the indicative rate for </w:t>
      </w:r>
      <w:r w:rsidR="003E65B3">
        <w:rPr/>
        <w:t>initial</w:t>
      </w:r>
      <w:r w:rsidR="0024009B">
        <w:rPr/>
        <w:t>, one-off,</w:t>
      </w:r>
      <w:r w:rsidR="003E65B3">
        <w:rPr/>
        <w:t xml:space="preserve"> contributions would be </w:t>
      </w:r>
      <w:r w:rsidRPr="75EFA4A5" w:rsidR="003E65B3">
        <w:rPr>
          <w:b w:val="1"/>
          <w:bCs w:val="1"/>
        </w:rPr>
        <w:t>£0.0</w:t>
      </w:r>
      <w:r w:rsidRPr="75EFA4A5" w:rsidR="00F11468">
        <w:rPr>
          <w:b w:val="1"/>
          <w:bCs w:val="1"/>
        </w:rPr>
        <w:t>1</w:t>
      </w:r>
      <w:r w:rsidRPr="75EFA4A5" w:rsidR="0485D825">
        <w:rPr>
          <w:b w:val="1"/>
          <w:bCs w:val="1"/>
        </w:rPr>
        <w:t>0</w:t>
      </w:r>
      <w:r w:rsidRPr="75EFA4A5" w:rsidR="00F11468">
        <w:rPr>
          <w:b w:val="1"/>
          <w:bCs w:val="1"/>
        </w:rPr>
        <w:t>9</w:t>
      </w:r>
      <w:r w:rsidRPr="75EFA4A5" w:rsidR="0A7AA22E">
        <w:rPr>
          <w:b w:val="1"/>
          <w:bCs w:val="1"/>
        </w:rPr>
        <w:t>091</w:t>
      </w:r>
      <w:r w:rsidR="003E65B3">
        <w:rPr/>
        <w:t xml:space="preserve"> per tonne and </w:t>
      </w:r>
      <w:r w:rsidR="00C374BE">
        <w:rPr/>
        <w:t>indicative</w:t>
      </w:r>
      <w:r w:rsidR="003E65B3">
        <w:rPr/>
        <w:t xml:space="preserve"> contributor costs </w:t>
      </w:r>
      <w:r w:rsidR="003E65B3">
        <w:rPr/>
        <w:t>would be</w:t>
      </w:r>
      <w:r w:rsidR="003E65B3">
        <w:rPr/>
        <w:t xml:space="preserve">: </w:t>
      </w:r>
    </w:p>
    <w:p w:rsidR="00D93E8D" w:rsidP="75EFA4A5" w:rsidRDefault="509F08F2" w14:paraId="6C583A07" w14:textId="7B363952">
      <w:pPr>
        <w:pStyle w:val="Normal"/>
        <w:spacing w:line="240" w:lineRule="auto"/>
        <w:jc w:val="center"/>
      </w:pPr>
      <w:r w:rsidRPr="75EFA4A5" w:rsidR="509F08F2">
        <w:rPr>
          <w:rFonts w:ascii="Times New Roman" w:hAnsi="Times New Roman" w:eastAsia="Times New Roman" w:cs="Times New Roman"/>
          <w:color w:val="000000" w:themeColor="text1" w:themeTint="FF" w:themeShade="FF"/>
        </w:rPr>
        <w:t xml:space="preserve"> </w:t>
      </w:r>
      <w:r w:rsidR="66C19156">
        <w:drawing>
          <wp:inline wp14:editId="3628161B" wp14:anchorId="74C6DB7F">
            <wp:extent cx="2750492" cy="1465114"/>
            <wp:effectExtent l="0" t="0" r="0" b="0"/>
            <wp:docPr id="13130561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3056115" name="Picture 1313056115"/>
                    <pic:cNvPicPr/>
                  </pic:nvPicPr>
                  <pic:blipFill>
                    <a:blip xmlns:r="http://schemas.openxmlformats.org/officeDocument/2006/relationships" r:embed="rId1811317704">
                      <a:extLst>
                        <a:ext uri="{28A0092B-C50C-407E-A947-70E740481C1C}">
                          <a14:useLocalDpi xmlns:a14="http://schemas.microsoft.com/office/drawing/2010/main"/>
                        </a:ext>
                      </a:extLst>
                    </a:blip>
                    <a:stretch>
                      <a:fillRect/>
                    </a:stretch>
                  </pic:blipFill>
                  <pic:spPr>
                    <a:xfrm rot="0">
                      <a:off x="0" y="0"/>
                      <a:ext cx="2750492" cy="1465114"/>
                    </a:xfrm>
                    <a:prstGeom prst="rect">
                      <a:avLst/>
                    </a:prstGeom>
                  </pic:spPr>
                </pic:pic>
              </a:graphicData>
            </a:graphic>
          </wp:inline>
        </w:drawing>
      </w:r>
      <w:r w:rsidRPr="75EFA4A5" w:rsidR="66C19156">
        <w:rPr>
          <w:rFonts w:ascii="Times New Roman" w:hAnsi="Times New Roman" w:eastAsia="Times New Roman" w:cs="Times New Roman"/>
          <w:color w:val="000000" w:themeColor="text1" w:themeTint="FF" w:themeShade="FF"/>
        </w:rPr>
        <w:t xml:space="preserve"> </w:t>
      </w:r>
      <w:r w:rsidR="66C19156">
        <w:drawing>
          <wp:inline wp14:editId="2879DC46" wp14:anchorId="76C8207F">
            <wp:extent cx="2743803" cy="1402144"/>
            <wp:effectExtent l="0" t="0" r="0" b="0"/>
            <wp:docPr id="8173755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7375587" name="Picture 817375587"/>
                    <pic:cNvPicPr/>
                  </pic:nvPicPr>
                  <pic:blipFill>
                    <a:blip xmlns:r="http://schemas.openxmlformats.org/officeDocument/2006/relationships" r:embed="rId389837254">
                      <a:extLst>
                        <a:ext uri="{28A0092B-C50C-407E-A947-70E740481C1C}">
                          <a14:useLocalDpi xmlns:a14="http://schemas.microsoft.com/office/drawing/2010/main"/>
                        </a:ext>
                      </a:extLst>
                    </a:blip>
                    <a:stretch>
                      <a:fillRect/>
                    </a:stretch>
                  </pic:blipFill>
                  <pic:spPr>
                    <a:xfrm rot="0">
                      <a:off x="0" y="0"/>
                      <a:ext cx="2743803" cy="1402144"/>
                    </a:xfrm>
                    <a:prstGeom prst="rect">
                      <a:avLst/>
                    </a:prstGeom>
                  </pic:spPr>
                </pic:pic>
              </a:graphicData>
            </a:graphic>
          </wp:inline>
        </w:drawing>
      </w:r>
    </w:p>
    <w:p w:rsidRPr="00F86BD1" w:rsidR="003E65B3" w:rsidP="00F86BD1" w:rsidRDefault="003E65B3" w14:paraId="228A309D" w14:textId="212C0726">
      <w:pPr>
        <w:pStyle w:val="ListParagraph"/>
        <w:numPr>
          <w:ilvl w:val="0"/>
          <w:numId w:val="1"/>
        </w:numPr>
        <w:spacing w:line="240" w:lineRule="auto"/>
        <w:rPr>
          <w:b/>
          <w:bCs/>
        </w:rPr>
      </w:pPr>
      <w:r w:rsidRPr="00F86BD1">
        <w:rPr>
          <w:b/>
          <w:bCs/>
        </w:rPr>
        <w:t xml:space="preserve">Annual Contributions </w:t>
      </w:r>
    </w:p>
    <w:p w:rsidRPr="00D93E8D" w:rsidR="003E65B3" w:rsidP="00516E3F" w:rsidRDefault="003E65B3" w14:paraId="2A77B6A7" w14:textId="77777777">
      <w:pPr>
        <w:spacing w:line="240" w:lineRule="auto"/>
        <w:rPr>
          <w:b/>
          <w:bCs/>
        </w:rPr>
      </w:pPr>
      <w:r w:rsidRPr="00D93E8D">
        <w:rPr>
          <w:b/>
          <w:bCs/>
        </w:rPr>
        <w:t xml:space="preserve">Administrative / Running Costs </w:t>
      </w:r>
    </w:p>
    <w:p w:rsidR="003E65B3" w:rsidP="00B11E57" w:rsidRDefault="003E65B3" w14:paraId="6E144E74" w14:textId="40584B68">
      <w:pPr>
        <w:spacing w:line="240" w:lineRule="auto"/>
        <w:jc w:val="both"/>
      </w:pPr>
      <w:r>
        <w:t>Based on the IOPC Funds’ current HNS budget, annual administrative costs to support the operations of the HNS Fund are estimated to be between £550,000 and £750,000.  These include a management fee that will cover staff costs and office infrastructure</w:t>
      </w:r>
      <w:r w:rsidR="000635EE">
        <w:t>, including a share of the overhead of the IOPC Fund Secretariat’s office where the HNS Fund is expected to be co-located, as well as IT costs related to running the HNS Finder, reporting platform, and website,</w:t>
      </w:r>
      <w:r>
        <w:t xml:space="preserve"> and outreach expenses.  </w:t>
      </w:r>
    </w:p>
    <w:p w:rsidR="003E65B3" w:rsidP="00A661DC" w:rsidRDefault="00791C6F" w14:paraId="08A21C91" w14:textId="5BDF147E">
      <w:pPr>
        <w:spacing w:line="240" w:lineRule="auto"/>
        <w:jc w:val="both"/>
      </w:pPr>
      <w:r w:rsidR="00791C6F">
        <w:rPr/>
        <w:t>U</w:t>
      </w:r>
      <w:r w:rsidR="003E65B3">
        <w:rPr/>
        <w:t>sing an estimate in the middle of this range</w:t>
      </w:r>
      <w:r w:rsidR="000635EE">
        <w:rPr/>
        <w:t>, £650,000 in annual running costs,</w:t>
      </w:r>
      <w:r w:rsidR="003E65B3">
        <w:rPr/>
        <w:t xml:space="preserve"> and dividing by </w:t>
      </w:r>
      <w:r w:rsidR="00F63A8C">
        <w:rPr/>
        <w:t>55</w:t>
      </w:r>
      <w:r w:rsidR="003E65B3">
        <w:rPr/>
        <w:t>0 million tonnes yields an indicative levy of £0.</w:t>
      </w:r>
      <w:r w:rsidR="003E65B3">
        <w:rPr/>
        <w:t>001</w:t>
      </w:r>
      <w:r w:rsidR="00F63A8C">
        <w:rPr/>
        <w:t>18</w:t>
      </w:r>
      <w:r w:rsidR="51238FA8">
        <w:rPr/>
        <w:t>18</w:t>
      </w:r>
      <w:r w:rsidR="003E65B3">
        <w:rPr/>
        <w:t xml:space="preserve"> </w:t>
      </w:r>
      <w:r w:rsidR="003E65B3">
        <w:rPr/>
        <w:t>per tonne. Based on this levy</w:t>
      </w:r>
      <w:r w:rsidR="000635EE">
        <w:rPr/>
        <w:t>,</w:t>
      </w:r>
      <w:r w:rsidR="003E65B3">
        <w:rPr/>
        <w:t xml:space="preserve"> below are some example contributor costs for the annual levy: </w:t>
      </w:r>
    </w:p>
    <w:p w:rsidR="003E65B3" w:rsidP="75EFA4A5" w:rsidRDefault="0073368C" w14:paraId="79A88C2F" w14:textId="3966F0C4">
      <w:pPr>
        <w:pStyle w:val="Normal"/>
        <w:spacing w:line="240" w:lineRule="auto"/>
        <w:jc w:val="center"/>
      </w:pPr>
      <w:r w:rsidR="302B48C1">
        <w:drawing>
          <wp:inline wp14:editId="618F8828" wp14:anchorId="320C890C">
            <wp:extent cx="2786187" cy="1435138"/>
            <wp:effectExtent l="0" t="0" r="0" b="0"/>
            <wp:docPr id="19991358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9135884" name="Picture 1999135884"/>
                    <pic:cNvPicPr/>
                  </pic:nvPicPr>
                  <pic:blipFill>
                    <a:blip xmlns:r="http://schemas.openxmlformats.org/officeDocument/2006/relationships" r:embed="rId376217989">
                      <a:extLst>
                        <a:ext uri="{28A0092B-C50C-407E-A947-70E740481C1C}">
                          <a14:useLocalDpi xmlns:a14="http://schemas.microsoft.com/office/drawing/2010/main"/>
                        </a:ext>
                      </a:extLst>
                    </a:blip>
                    <a:stretch>
                      <a:fillRect/>
                    </a:stretch>
                  </pic:blipFill>
                  <pic:spPr>
                    <a:xfrm rot="0">
                      <a:off x="0" y="0"/>
                      <a:ext cx="2786187" cy="1435138"/>
                    </a:xfrm>
                    <a:prstGeom prst="rect">
                      <a:avLst/>
                    </a:prstGeom>
                  </pic:spPr>
                </pic:pic>
              </a:graphicData>
            </a:graphic>
          </wp:inline>
        </w:drawing>
      </w:r>
      <w:r w:rsidR="6312D47D">
        <w:rPr/>
        <w:t xml:space="preserve"> </w:t>
      </w:r>
      <w:r w:rsidR="6312D47D">
        <w:drawing>
          <wp:inline wp14:editId="3D95A650" wp14:anchorId="00D461EF">
            <wp:extent cx="2814230" cy="1434596"/>
            <wp:effectExtent l="0" t="0" r="0" b="0"/>
            <wp:docPr id="20595651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9565132" name="Picture 2059565132"/>
                    <pic:cNvPicPr/>
                  </pic:nvPicPr>
                  <pic:blipFill>
                    <a:blip xmlns:r="http://schemas.openxmlformats.org/officeDocument/2006/relationships" r:embed="rId2087937238">
                      <a:extLst>
                        <a:ext uri="{28A0092B-C50C-407E-A947-70E740481C1C}">
                          <a14:useLocalDpi xmlns:a14="http://schemas.microsoft.com/office/drawing/2010/main"/>
                        </a:ext>
                      </a:extLst>
                    </a:blip>
                    <a:stretch>
                      <a:fillRect/>
                    </a:stretch>
                  </pic:blipFill>
                  <pic:spPr>
                    <a:xfrm rot="0">
                      <a:off x="0" y="0"/>
                      <a:ext cx="2814230" cy="1434596"/>
                    </a:xfrm>
                    <a:prstGeom prst="rect">
                      <a:avLst/>
                    </a:prstGeom>
                  </pic:spPr>
                </pic:pic>
              </a:graphicData>
            </a:graphic>
          </wp:inline>
        </w:drawing>
      </w:r>
    </w:p>
    <w:p w:rsidR="00EC6E4C" w:rsidP="00B30582" w:rsidRDefault="00EC6E4C" w14:paraId="57A784B7" w14:textId="533F69DC">
      <w:pPr>
        <w:spacing w:line="240" w:lineRule="auto"/>
        <w:jc w:val="both"/>
      </w:pPr>
      <w:r w:rsidRPr="00EC6E4C">
        <w:t xml:space="preserve">In the early years, initial contributions from new entrants are expected to cover running costs, so no annual administrative levy is anticipated. As more States join and cargo volumes grow, the per-tonne rate </w:t>
      </w:r>
      <w:r>
        <w:t xml:space="preserve">is expected to </w:t>
      </w:r>
      <w:r w:rsidRPr="00EC6E4C">
        <w:t>fall.</w:t>
      </w:r>
      <w:r>
        <w:t xml:space="preserve"> Note that annual contributions will only be levied if required.</w:t>
      </w:r>
      <w:r w:rsidR="001B56BD">
        <w:t xml:space="preserve"> </w:t>
      </w:r>
      <w:r>
        <w:t xml:space="preserve">The HNS Fund Assembly will decide whether levies for administrative costs are necessary in any given year and apportion these costs across the general and separate accounts. </w:t>
      </w:r>
    </w:p>
    <w:p w:rsidR="000635EE" w:rsidP="00B30582" w:rsidRDefault="000635EE" w14:paraId="4D12D4B9" w14:textId="77777777">
      <w:pPr>
        <w:spacing w:line="240" w:lineRule="auto"/>
        <w:jc w:val="both"/>
      </w:pPr>
    </w:p>
    <w:p w:rsidRPr="00B30582" w:rsidR="003E65B3" w:rsidP="00516E3F" w:rsidRDefault="003E65B3" w14:paraId="1061D94B" w14:textId="0D42F0E5">
      <w:pPr>
        <w:spacing w:line="240" w:lineRule="auto"/>
        <w:rPr>
          <w:b/>
          <w:bCs/>
        </w:rPr>
      </w:pPr>
      <w:r w:rsidRPr="00B30582">
        <w:rPr>
          <w:b/>
          <w:bCs/>
        </w:rPr>
        <w:t>Cost of Incidents</w:t>
      </w:r>
    </w:p>
    <w:p w:rsidR="003E65B3" w:rsidP="00D16949" w:rsidRDefault="003E65B3" w14:paraId="217A4D73" w14:textId="13C2665B">
      <w:pPr>
        <w:spacing w:line="240" w:lineRule="auto"/>
        <w:jc w:val="both"/>
      </w:pPr>
      <w:r>
        <w:t xml:space="preserve">In addition to the costs of running the HNS Fund’s Secretariat, annual contributions also cover the costs of providing compensation for victims.  Incident costs </w:t>
      </w:r>
      <w:r w:rsidR="007332C0">
        <w:t xml:space="preserve">cannot be predicted in advance, as they </w:t>
      </w:r>
      <w:r>
        <w:t>depend on the scale and number of HNS casualties</w:t>
      </w:r>
      <w:r w:rsidR="000635EE">
        <w:t>, as well as</w:t>
      </w:r>
      <w:r>
        <w:t xml:space="preserve"> the claims assessment process. The HNS Fund is divided into four separate accounts so that damages for incidents involving a particular type of HNS are paid for only by contributors to the relevant account.  Costs will depend on the </w:t>
      </w:r>
      <w:r w:rsidR="007332C0">
        <w:t>number</w:t>
      </w:r>
      <w:r>
        <w:t xml:space="preserve"> of claims and the quantity of contributing cargo reported in that account at the time of the incident.  </w:t>
      </w:r>
    </w:p>
    <w:p w:rsidR="007332C0" w:rsidP="007332C0" w:rsidRDefault="007332C0" w14:paraId="27A15F56" w14:textId="22DAA6E3">
      <w:pPr>
        <w:spacing w:line="240" w:lineRule="auto"/>
        <w:jc w:val="center"/>
      </w:pPr>
      <w:r w:rsidRPr="001245E1">
        <w:rPr>
          <w:noProof/>
        </w:rPr>
        <w:drawing>
          <wp:inline distT="0" distB="0" distL="0" distR="0" wp14:anchorId="594F98CF" wp14:editId="0D80435B">
            <wp:extent cx="2751494" cy="1419009"/>
            <wp:effectExtent l="0" t="0" r="0" b="0"/>
            <wp:docPr id="704756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56657" name=""/>
                    <pic:cNvPicPr/>
                  </pic:nvPicPr>
                  <pic:blipFill>
                    <a:blip r:embed="rId20"/>
                    <a:stretch>
                      <a:fillRect/>
                    </a:stretch>
                  </pic:blipFill>
                  <pic:spPr>
                    <a:xfrm>
                      <a:off x="0" y="0"/>
                      <a:ext cx="2751494" cy="1419009"/>
                    </a:xfrm>
                    <a:prstGeom prst="rect">
                      <a:avLst/>
                    </a:prstGeom>
                  </pic:spPr>
                </pic:pic>
              </a:graphicData>
            </a:graphic>
          </wp:inline>
        </w:drawing>
      </w:r>
    </w:p>
    <w:p w:rsidR="007332C0" w:rsidP="00D16949" w:rsidRDefault="007332C0" w14:paraId="63B660AF" w14:textId="77777777">
      <w:pPr>
        <w:spacing w:line="240" w:lineRule="auto"/>
        <w:jc w:val="both"/>
      </w:pPr>
    </w:p>
    <w:p w:rsidR="0011498A" w:rsidP="59A5ABF8" w:rsidRDefault="003E65B3" w14:paraId="07F936A3" w14:textId="6C8A46D7">
      <w:pPr>
        <w:spacing w:line="240" w:lineRule="auto"/>
        <w:jc w:val="both"/>
      </w:pPr>
      <w:r w:rsidR="003E65B3">
        <w:rPr/>
        <w:t xml:space="preserve">The HNS Convention creates a two-tiered liability and compensation system. The HNS Fund serves as a </w:t>
      </w:r>
      <w:r w:rsidR="007332C0">
        <w:rPr/>
        <w:t>second-tier</w:t>
      </w:r>
      <w:r w:rsidR="003E65B3">
        <w:rPr/>
        <w:t xml:space="preserve"> compensation and backstop for major incidents. Experience shows that HNS events exceeding the shipowner’s liability are rare, so industry contributions to the HNS Fund are expected to be infrequent and generally low.</w:t>
      </w:r>
    </w:p>
    <w:p w:rsidR="00E42918" w:rsidP="75EFA4A5" w:rsidRDefault="09AA366B" w14:paraId="3C1731DC" w14:textId="7EDA7A41">
      <w:pPr>
        <w:pStyle w:val="Normal"/>
        <w:spacing w:line="240" w:lineRule="auto"/>
        <w:jc w:val="both"/>
      </w:pPr>
      <w:r w:rsidR="282F6D89">
        <w:drawing>
          <wp:inline wp14:editId="381C1C34" wp14:anchorId="4CB46F62">
            <wp:extent cx="6018090" cy="2733675"/>
            <wp:effectExtent l="0" t="0" r="0" b="0"/>
            <wp:docPr id="21331154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3115403" name="Picture 2133115403"/>
                    <pic:cNvPicPr/>
                  </pic:nvPicPr>
                  <pic:blipFill>
                    <a:blip xmlns:r="http://schemas.openxmlformats.org/officeDocument/2006/relationships" r:embed="rId840646967">
                      <a:extLst>
                        <a:ext uri="{28A0092B-C50C-407E-A947-70E740481C1C}">
                          <a14:useLocalDpi xmlns:a14="http://schemas.microsoft.com/office/drawing/2010/main"/>
                        </a:ext>
                      </a:extLst>
                    </a:blip>
                    <a:stretch>
                      <a:fillRect/>
                    </a:stretch>
                  </pic:blipFill>
                  <pic:spPr>
                    <a:xfrm rot="0">
                      <a:off x="0" y="0"/>
                      <a:ext cx="6018090" cy="2733675"/>
                    </a:xfrm>
                    <a:prstGeom prst="rect">
                      <a:avLst/>
                    </a:prstGeom>
                  </pic:spPr>
                </pic:pic>
              </a:graphicData>
            </a:graphic>
          </wp:inline>
        </w:drawing>
      </w:r>
    </w:p>
    <w:sectPr w:rsidR="00E42918">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7815" w:rsidP="00D64A58" w:rsidRDefault="00387815" w14:paraId="6368A8B6" w14:textId="77777777">
      <w:pPr>
        <w:spacing w:after="0" w:line="240" w:lineRule="auto"/>
      </w:pPr>
      <w:r>
        <w:separator/>
      </w:r>
    </w:p>
  </w:endnote>
  <w:endnote w:type="continuationSeparator" w:id="0">
    <w:p w:rsidR="00387815" w:rsidP="00D64A58" w:rsidRDefault="00387815" w14:paraId="186FDE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7815" w:rsidP="00D64A58" w:rsidRDefault="00387815" w14:paraId="1C9AF3BD" w14:textId="77777777">
      <w:pPr>
        <w:spacing w:after="0" w:line="240" w:lineRule="auto"/>
      </w:pPr>
      <w:r>
        <w:separator/>
      </w:r>
    </w:p>
  </w:footnote>
  <w:footnote w:type="continuationSeparator" w:id="0">
    <w:p w:rsidR="00387815" w:rsidP="00D64A58" w:rsidRDefault="00387815" w14:paraId="373AD168" w14:textId="77777777">
      <w:pPr>
        <w:spacing w:after="0" w:line="240" w:lineRule="auto"/>
      </w:pPr>
      <w:r>
        <w:continuationSeparator/>
      </w:r>
    </w:p>
  </w:footnote>
  <w:footnote w:id="1">
    <w:p w:rsidR="00D64A58" w:rsidP="00D64A58" w:rsidRDefault="00D64A58" w14:paraId="03079A03" w14:textId="4D142287">
      <w:pPr>
        <w:spacing w:line="240" w:lineRule="auto"/>
        <w:jc w:val="both"/>
      </w:pPr>
      <w:r>
        <w:rPr>
          <w:rStyle w:val="FootnoteReference"/>
        </w:rPr>
        <w:footnoteRef/>
      </w:r>
      <w:r>
        <w:t xml:space="preserve"> With respect to the repayment of the loan, the Director has committed to developing options that will not penalize early adopters of the Convention. Depending on which option is chosen at the first meeting of the HNS Fund Assembly, the amount of the initial levy could be lower, though the full value of the loan will eventually have to be repaid. </w:t>
      </w:r>
    </w:p>
    <w:p w:rsidR="00D64A58" w:rsidRDefault="00D64A58" w14:paraId="2F591E92" w14:textId="55AC28C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A698C"/>
    <w:multiLevelType w:val="hybridMultilevel"/>
    <w:tmpl w:val="EF7E54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95800AE"/>
    <w:multiLevelType w:val="hybridMultilevel"/>
    <w:tmpl w:val="291C81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531F9D"/>
    <w:multiLevelType w:val="hybridMultilevel"/>
    <w:tmpl w:val="14C8C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94199579">
    <w:abstractNumId w:val="1"/>
  </w:num>
  <w:num w:numId="2" w16cid:durableId="56050761">
    <w:abstractNumId w:val="2"/>
  </w:num>
  <w:num w:numId="3" w16cid:durableId="1723286159">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5B3"/>
    <w:rsid w:val="000111DB"/>
    <w:rsid w:val="000276B7"/>
    <w:rsid w:val="00031666"/>
    <w:rsid w:val="000635EE"/>
    <w:rsid w:val="00075638"/>
    <w:rsid w:val="000D7104"/>
    <w:rsid w:val="0011498A"/>
    <w:rsid w:val="001245E1"/>
    <w:rsid w:val="001453DA"/>
    <w:rsid w:val="001B56BD"/>
    <w:rsid w:val="001C0C0F"/>
    <w:rsid w:val="001E6C4D"/>
    <w:rsid w:val="001F3A13"/>
    <w:rsid w:val="002363AF"/>
    <w:rsid w:val="0024009B"/>
    <w:rsid w:val="00271A76"/>
    <w:rsid w:val="002E116B"/>
    <w:rsid w:val="00387815"/>
    <w:rsid w:val="003C267E"/>
    <w:rsid w:val="003E65B3"/>
    <w:rsid w:val="00481859"/>
    <w:rsid w:val="004B4DC4"/>
    <w:rsid w:val="00511D08"/>
    <w:rsid w:val="00516E3F"/>
    <w:rsid w:val="00537629"/>
    <w:rsid w:val="00561DC7"/>
    <w:rsid w:val="0059633D"/>
    <w:rsid w:val="005F73B4"/>
    <w:rsid w:val="00607200"/>
    <w:rsid w:val="0061102E"/>
    <w:rsid w:val="00662407"/>
    <w:rsid w:val="006652B7"/>
    <w:rsid w:val="00697E6B"/>
    <w:rsid w:val="006F2BA2"/>
    <w:rsid w:val="006F5BAC"/>
    <w:rsid w:val="007332C0"/>
    <w:rsid w:val="0073368C"/>
    <w:rsid w:val="00791C6F"/>
    <w:rsid w:val="008251F1"/>
    <w:rsid w:val="0085401D"/>
    <w:rsid w:val="008714CF"/>
    <w:rsid w:val="008B0BC1"/>
    <w:rsid w:val="008F4D87"/>
    <w:rsid w:val="00903561"/>
    <w:rsid w:val="00947872"/>
    <w:rsid w:val="009B1C85"/>
    <w:rsid w:val="009E6F01"/>
    <w:rsid w:val="009F07AE"/>
    <w:rsid w:val="00A0393C"/>
    <w:rsid w:val="00A60D72"/>
    <w:rsid w:val="00A661DC"/>
    <w:rsid w:val="00A92541"/>
    <w:rsid w:val="00AF6822"/>
    <w:rsid w:val="00B10DE4"/>
    <w:rsid w:val="00B11E57"/>
    <w:rsid w:val="00B30582"/>
    <w:rsid w:val="00B34802"/>
    <w:rsid w:val="00B63F6D"/>
    <w:rsid w:val="00B82309"/>
    <w:rsid w:val="00C077A1"/>
    <w:rsid w:val="00C374BE"/>
    <w:rsid w:val="00CB150C"/>
    <w:rsid w:val="00CB1E0C"/>
    <w:rsid w:val="00CB22D0"/>
    <w:rsid w:val="00D16949"/>
    <w:rsid w:val="00D64A58"/>
    <w:rsid w:val="00D93E8D"/>
    <w:rsid w:val="00DC0D11"/>
    <w:rsid w:val="00DC270F"/>
    <w:rsid w:val="00DF7EBE"/>
    <w:rsid w:val="00E27B94"/>
    <w:rsid w:val="00E42918"/>
    <w:rsid w:val="00E962F2"/>
    <w:rsid w:val="00EC6E4C"/>
    <w:rsid w:val="00EC7527"/>
    <w:rsid w:val="00ED6F04"/>
    <w:rsid w:val="00F11468"/>
    <w:rsid w:val="00F12FEA"/>
    <w:rsid w:val="00F16876"/>
    <w:rsid w:val="00F63A8C"/>
    <w:rsid w:val="00F80E29"/>
    <w:rsid w:val="00F854EE"/>
    <w:rsid w:val="00F86BD1"/>
    <w:rsid w:val="013CC0DB"/>
    <w:rsid w:val="02934CA7"/>
    <w:rsid w:val="0485D825"/>
    <w:rsid w:val="08DFBDF5"/>
    <w:rsid w:val="08E167A6"/>
    <w:rsid w:val="08F4DB86"/>
    <w:rsid w:val="09AA366B"/>
    <w:rsid w:val="09AF8F57"/>
    <w:rsid w:val="0A7AA22E"/>
    <w:rsid w:val="100CA33B"/>
    <w:rsid w:val="1162741E"/>
    <w:rsid w:val="11DAF244"/>
    <w:rsid w:val="13748A1C"/>
    <w:rsid w:val="149BFC68"/>
    <w:rsid w:val="18CD9AAA"/>
    <w:rsid w:val="19899312"/>
    <w:rsid w:val="19A5138A"/>
    <w:rsid w:val="1ADF359C"/>
    <w:rsid w:val="1CEC0393"/>
    <w:rsid w:val="24CF91BD"/>
    <w:rsid w:val="27707B31"/>
    <w:rsid w:val="27A023F3"/>
    <w:rsid w:val="282F6D89"/>
    <w:rsid w:val="28775684"/>
    <w:rsid w:val="2A154C4B"/>
    <w:rsid w:val="2A23C98B"/>
    <w:rsid w:val="2AC4B5FE"/>
    <w:rsid w:val="2CB763D5"/>
    <w:rsid w:val="302B48C1"/>
    <w:rsid w:val="34AAE760"/>
    <w:rsid w:val="374FAA6B"/>
    <w:rsid w:val="3C7FA1CB"/>
    <w:rsid w:val="416A67CE"/>
    <w:rsid w:val="44909CB6"/>
    <w:rsid w:val="458E0035"/>
    <w:rsid w:val="46B4AC2D"/>
    <w:rsid w:val="4E68B73C"/>
    <w:rsid w:val="509F08F2"/>
    <w:rsid w:val="51238FA8"/>
    <w:rsid w:val="52477AF5"/>
    <w:rsid w:val="56EF7150"/>
    <w:rsid w:val="57C86782"/>
    <w:rsid w:val="59A5ABF8"/>
    <w:rsid w:val="59CE624C"/>
    <w:rsid w:val="5C8476F6"/>
    <w:rsid w:val="5E1096AD"/>
    <w:rsid w:val="5F0B43B1"/>
    <w:rsid w:val="61FEAC27"/>
    <w:rsid w:val="6312D47D"/>
    <w:rsid w:val="66C19156"/>
    <w:rsid w:val="6702E791"/>
    <w:rsid w:val="694B62C0"/>
    <w:rsid w:val="69C1F67A"/>
    <w:rsid w:val="6AD76604"/>
    <w:rsid w:val="719C3690"/>
    <w:rsid w:val="75EFA4A5"/>
    <w:rsid w:val="764C6BCC"/>
    <w:rsid w:val="78C2F685"/>
    <w:rsid w:val="78F7C4AE"/>
    <w:rsid w:val="79D51377"/>
    <w:rsid w:val="7FC9A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A3C8B"/>
  <w15:chartTrackingRefBased/>
  <w15:docId w15:val="{EB183EC0-013D-4A4F-A46A-BC60164E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E65B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5B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5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5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5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5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5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5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5B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E65B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E65B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E65B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E65B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E65B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E65B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E65B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E65B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E65B3"/>
    <w:rPr>
      <w:rFonts w:eastAsiaTheme="majorEastAsia" w:cstheme="majorBidi"/>
      <w:color w:val="272727" w:themeColor="text1" w:themeTint="D8"/>
    </w:rPr>
  </w:style>
  <w:style w:type="paragraph" w:styleId="Title">
    <w:name w:val="Title"/>
    <w:basedOn w:val="Normal"/>
    <w:next w:val="Normal"/>
    <w:link w:val="TitleChar"/>
    <w:uiPriority w:val="10"/>
    <w:qFormat/>
    <w:rsid w:val="003E65B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E65B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E65B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E65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5B3"/>
    <w:pPr>
      <w:spacing w:before="160"/>
      <w:jc w:val="center"/>
    </w:pPr>
    <w:rPr>
      <w:i/>
      <w:iCs/>
      <w:color w:val="404040" w:themeColor="text1" w:themeTint="BF"/>
    </w:rPr>
  </w:style>
  <w:style w:type="character" w:styleId="QuoteChar" w:customStyle="1">
    <w:name w:val="Quote Char"/>
    <w:basedOn w:val="DefaultParagraphFont"/>
    <w:link w:val="Quote"/>
    <w:uiPriority w:val="29"/>
    <w:rsid w:val="003E65B3"/>
    <w:rPr>
      <w:i/>
      <w:iCs/>
      <w:color w:val="404040" w:themeColor="text1" w:themeTint="BF"/>
    </w:rPr>
  </w:style>
  <w:style w:type="paragraph" w:styleId="ListParagraph">
    <w:name w:val="List Paragraph"/>
    <w:basedOn w:val="Normal"/>
    <w:uiPriority w:val="34"/>
    <w:qFormat/>
    <w:rsid w:val="003E65B3"/>
    <w:pPr>
      <w:ind w:left="720"/>
      <w:contextualSpacing/>
    </w:pPr>
  </w:style>
  <w:style w:type="character" w:styleId="IntenseEmphasis">
    <w:name w:val="Intense Emphasis"/>
    <w:basedOn w:val="DefaultParagraphFont"/>
    <w:uiPriority w:val="21"/>
    <w:qFormat/>
    <w:rsid w:val="003E65B3"/>
    <w:rPr>
      <w:i/>
      <w:iCs/>
      <w:color w:val="0F4761" w:themeColor="accent1" w:themeShade="BF"/>
    </w:rPr>
  </w:style>
  <w:style w:type="paragraph" w:styleId="IntenseQuote">
    <w:name w:val="Intense Quote"/>
    <w:basedOn w:val="Normal"/>
    <w:next w:val="Normal"/>
    <w:link w:val="IntenseQuoteChar"/>
    <w:uiPriority w:val="30"/>
    <w:qFormat/>
    <w:rsid w:val="003E65B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E65B3"/>
    <w:rPr>
      <w:i/>
      <w:iCs/>
      <w:color w:val="0F4761" w:themeColor="accent1" w:themeShade="BF"/>
    </w:rPr>
  </w:style>
  <w:style w:type="character" w:styleId="IntenseReference">
    <w:name w:val="Intense Reference"/>
    <w:basedOn w:val="DefaultParagraphFont"/>
    <w:uiPriority w:val="32"/>
    <w:qFormat/>
    <w:rsid w:val="003E65B3"/>
    <w:rPr>
      <w:b/>
      <w:bCs/>
      <w:smallCaps/>
      <w:color w:val="0F4761" w:themeColor="accent1" w:themeShade="BF"/>
      <w:spacing w:val="5"/>
    </w:rPr>
  </w:style>
  <w:style w:type="paragraph" w:styleId="FootnoteText">
    <w:name w:val="footnote text"/>
    <w:basedOn w:val="Normal"/>
    <w:link w:val="FootnoteTextChar"/>
    <w:uiPriority w:val="99"/>
    <w:semiHidden/>
    <w:unhideWhenUsed/>
    <w:rsid w:val="00D64A5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64A58"/>
    <w:rPr>
      <w:sz w:val="20"/>
      <w:szCs w:val="20"/>
    </w:rPr>
  </w:style>
  <w:style w:type="character" w:styleId="FootnoteReference">
    <w:name w:val="footnote reference"/>
    <w:basedOn w:val="DefaultParagraphFont"/>
    <w:uiPriority w:val="99"/>
    <w:semiHidden/>
    <w:unhideWhenUsed/>
    <w:rsid w:val="00D64A58"/>
    <w:rPr>
      <w:vertAlign w:val="superscript"/>
    </w:rPr>
  </w:style>
  <w:style w:type="character" w:styleId="CommentReference">
    <w:name w:val="annotation reference"/>
    <w:basedOn w:val="DefaultParagraphFont"/>
    <w:uiPriority w:val="99"/>
    <w:semiHidden/>
    <w:unhideWhenUsed/>
    <w:rsid w:val="00607200"/>
    <w:rPr>
      <w:sz w:val="16"/>
      <w:szCs w:val="16"/>
    </w:rPr>
  </w:style>
  <w:style w:type="paragraph" w:styleId="CommentText">
    <w:name w:val="annotation text"/>
    <w:basedOn w:val="Normal"/>
    <w:link w:val="CommentTextChar"/>
    <w:uiPriority w:val="99"/>
    <w:unhideWhenUsed/>
    <w:rsid w:val="00607200"/>
    <w:pPr>
      <w:spacing w:line="240" w:lineRule="auto"/>
    </w:pPr>
    <w:rPr>
      <w:sz w:val="20"/>
      <w:szCs w:val="20"/>
    </w:rPr>
  </w:style>
  <w:style w:type="character" w:styleId="CommentTextChar" w:customStyle="1">
    <w:name w:val="Comment Text Char"/>
    <w:basedOn w:val="DefaultParagraphFont"/>
    <w:link w:val="CommentText"/>
    <w:uiPriority w:val="99"/>
    <w:rsid w:val="00607200"/>
    <w:rPr>
      <w:sz w:val="20"/>
      <w:szCs w:val="20"/>
    </w:rPr>
  </w:style>
  <w:style w:type="paragraph" w:styleId="CommentSubject">
    <w:name w:val="annotation subject"/>
    <w:basedOn w:val="CommentText"/>
    <w:next w:val="CommentText"/>
    <w:link w:val="CommentSubjectChar"/>
    <w:uiPriority w:val="99"/>
    <w:semiHidden/>
    <w:unhideWhenUsed/>
    <w:rsid w:val="00607200"/>
    <w:rPr>
      <w:b/>
      <w:bCs/>
    </w:rPr>
  </w:style>
  <w:style w:type="character" w:styleId="CommentSubjectChar" w:customStyle="1">
    <w:name w:val="Comment Subject Char"/>
    <w:basedOn w:val="CommentTextChar"/>
    <w:link w:val="CommentSubject"/>
    <w:uiPriority w:val="99"/>
    <w:semiHidden/>
    <w:rsid w:val="006072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6.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 Type="http://schemas.openxmlformats.org/officeDocument/2006/relationships/image" Target="/media/image8.png" Id="rId1811317704" /><Relationship Type="http://schemas.openxmlformats.org/officeDocument/2006/relationships/image" Target="/media/image9.png" Id="rId389837254" /><Relationship Type="http://schemas.openxmlformats.org/officeDocument/2006/relationships/image" Target="/media/imagea.png" Id="rId376217989" /><Relationship Type="http://schemas.openxmlformats.org/officeDocument/2006/relationships/image" Target="/media/imageb.png" Id="rId2087937238" /><Relationship Type="http://schemas.openxmlformats.org/officeDocument/2006/relationships/image" Target="/media/imagec.png" Id="rId84064696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d06a0c-10dc-4bc6-8c50-8545a8ea3cef" xsi:nil="true"/>
    <lcf76f155ced4ddcb4097134ff3c332f xmlns="0480698c-c063-41de-b41c-a006e7414a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30FEDA8F45744992828FDDC92A45F8" ma:contentTypeVersion="10" ma:contentTypeDescription="Create a new document." ma:contentTypeScope="" ma:versionID="4400fcd410a45e2c7a41d7b5f1686808">
  <xsd:schema xmlns:xsd="http://www.w3.org/2001/XMLSchema" xmlns:xs="http://www.w3.org/2001/XMLSchema" xmlns:p="http://schemas.microsoft.com/office/2006/metadata/properties" xmlns:ns2="0480698c-c063-41de-b41c-a006e7414afe" xmlns:ns3="95d06a0c-10dc-4bc6-8c50-8545a8ea3cef" targetNamespace="http://schemas.microsoft.com/office/2006/metadata/properties" ma:root="true" ma:fieldsID="d998cd6417de327874c9e0ce85c44b96" ns2:_="" ns3:_="">
    <xsd:import namespace="0480698c-c063-41de-b41c-a006e7414afe"/>
    <xsd:import namespace="95d06a0c-10dc-4bc6-8c50-8545a8ea3c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0698c-c063-41de-b41c-a006e7414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7b9b8e-a539-4a2a-8078-09dc5c368a4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d06a0c-10dc-4bc6-8c50-8545a8ea3c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9d55dd-5d61-4e25-b35c-5e6f71448d7c}" ma:internalName="TaxCatchAll" ma:showField="CatchAllData" ma:web="95d06a0c-10dc-4bc6-8c50-8545a8ea3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D08CD-1CB7-43A6-8CB7-F5FEF9E93456}">
  <ds:schemaRefs>
    <ds:schemaRef ds:uri="http://schemas.microsoft.com/office/2006/metadata/properties"/>
    <ds:schemaRef ds:uri="http://schemas.microsoft.com/office/infopath/2007/PartnerControls"/>
    <ds:schemaRef ds:uri="95d06a0c-10dc-4bc6-8c50-8545a8ea3cef"/>
    <ds:schemaRef ds:uri="0480698c-c063-41de-b41c-a006e7414afe"/>
  </ds:schemaRefs>
</ds:datastoreItem>
</file>

<file path=customXml/itemProps2.xml><?xml version="1.0" encoding="utf-8"?>
<ds:datastoreItem xmlns:ds="http://schemas.openxmlformats.org/officeDocument/2006/customXml" ds:itemID="{3A2AB8E5-DD9D-480F-809D-84834C31435A}">
  <ds:schemaRefs>
    <ds:schemaRef ds:uri="http://schemas.microsoft.com/sharepoint/v3/contenttype/forms"/>
  </ds:schemaRefs>
</ds:datastoreItem>
</file>

<file path=customXml/itemProps3.xml><?xml version="1.0" encoding="utf-8"?>
<ds:datastoreItem xmlns:ds="http://schemas.openxmlformats.org/officeDocument/2006/customXml" ds:itemID="{4C439D60-6364-4C5F-9354-3F4002C5E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0698c-c063-41de-b41c-a006e7414afe"/>
    <ds:schemaRef ds:uri="95d06a0c-10dc-4bc6-8c50-8545a8ea3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46222F-B0B4-4B6C-9292-AFD880B1674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Annabelle Nicolas-Kopec</dc:creator>
  <keywords/>
  <dc:description/>
  <lastModifiedBy>Annabelle Nicolas-Kopec</lastModifiedBy>
  <revision>42</revision>
  <dcterms:created xsi:type="dcterms:W3CDTF">2026-06-29T14:51:00.0000000Z</dcterms:created>
  <dcterms:modified xsi:type="dcterms:W3CDTF">2026-09-21T10:27:10.2990095Z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594e8d13-fa12-46db-9eca-c82a5ab12926</vt:lpwstr>
  </property>
  <property fmtid="{D5CDD505-2E9C-101B-9397-08002B2CF9AE}" pid="3" name="ContentTypeId">
    <vt:lpwstr>0x0101000130FEDA8F45744992828FDDC92A45F8</vt:lpwstr>
  </property>
  <property fmtid="{D5CDD505-2E9C-101B-9397-08002B2CF9AE}" pid="4" name="MediaServiceImageTags">
    <vt:lpwstr/>
  </property>
  <property fmtid="{D5CDD505-2E9C-101B-9397-08002B2CF9AE}" pid="5" name="docLang">
    <vt:lpwstr>en</vt:lpwstr>
  </property>
</Properties>
</file>