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EE567" w14:textId="3F030AF8" w:rsidR="00BB57EA" w:rsidRPr="000D22FF" w:rsidRDefault="00BB57EA" w:rsidP="00134504">
      <w:pPr>
        <w:jc w:val="center"/>
        <w:rPr>
          <w:rFonts w:ascii="Arial" w:hAnsi="Arial" w:cs="Arial"/>
          <w:b/>
          <w:bCs/>
          <w:u w:val="single"/>
        </w:rPr>
      </w:pPr>
      <w:r w:rsidRPr="000D22FF">
        <w:rPr>
          <w:rFonts w:ascii="Arial" w:hAnsi="Arial" w:cs="Arial"/>
          <w:b/>
          <w:bCs/>
          <w:u w:val="single"/>
        </w:rPr>
        <w:t xml:space="preserve">Διακριτικές ευχέρειες Οδηγίας (ΕΕ) </w:t>
      </w:r>
      <w:r w:rsidR="004324D8" w:rsidRPr="000D22FF">
        <w:rPr>
          <w:rFonts w:ascii="Arial" w:hAnsi="Arial" w:cs="Arial"/>
          <w:b/>
          <w:bCs/>
          <w:u w:val="single"/>
        </w:rPr>
        <w:t xml:space="preserve">2025/1 </w:t>
      </w:r>
      <w:r w:rsidRPr="000D22FF">
        <w:rPr>
          <w:rFonts w:ascii="Arial" w:hAnsi="Arial" w:cs="Arial"/>
          <w:b/>
          <w:bCs/>
          <w:u w:val="single"/>
        </w:rPr>
        <w:t xml:space="preserve">του Ευρωπαϊκού Κοινοβουλίου και του Συμβουλίου της 27ης Νοεμβρίου 2024 για τη θέσπιση πλαισίου ανάκαμψης και εξυγίανσης ασφαλιστικών και </w:t>
      </w:r>
      <w:proofErr w:type="spellStart"/>
      <w:r w:rsidRPr="000D22FF">
        <w:rPr>
          <w:rFonts w:ascii="Arial" w:hAnsi="Arial" w:cs="Arial"/>
          <w:b/>
          <w:bCs/>
          <w:u w:val="single"/>
        </w:rPr>
        <w:t>αντασφαλιστικών</w:t>
      </w:r>
      <w:proofErr w:type="spellEnd"/>
      <w:r w:rsidRPr="000D22FF">
        <w:rPr>
          <w:rFonts w:ascii="Arial" w:hAnsi="Arial" w:cs="Arial"/>
          <w:b/>
          <w:bCs/>
          <w:u w:val="single"/>
        </w:rPr>
        <w:t xml:space="preserve"> επιχειρήσεων</w:t>
      </w:r>
    </w:p>
    <w:tbl>
      <w:tblPr>
        <w:tblW w:w="15168" w:type="dxa"/>
        <w:jc w:val="center"/>
        <w:tblLayout w:type="fixed"/>
        <w:tblLook w:val="04A0" w:firstRow="1" w:lastRow="0" w:firstColumn="1" w:lastColumn="0" w:noHBand="0" w:noVBand="1"/>
      </w:tblPr>
      <w:tblGrid>
        <w:gridCol w:w="2127"/>
        <w:gridCol w:w="1276"/>
        <w:gridCol w:w="7654"/>
        <w:gridCol w:w="4111"/>
      </w:tblGrid>
      <w:tr w:rsidR="00C34C32" w:rsidRPr="000D22FF" w14:paraId="155B18D9" w14:textId="77777777" w:rsidTr="00C34C32">
        <w:trPr>
          <w:cantSplit/>
          <w:trHeight w:val="652"/>
          <w:tblHeader/>
          <w:jc w:val="center"/>
        </w:trPr>
        <w:tc>
          <w:tcPr>
            <w:tcW w:w="2127" w:type="dxa"/>
            <w:tcBorders>
              <w:top w:val="single" w:sz="4" w:space="0" w:color="auto"/>
              <w:left w:val="single" w:sz="4" w:space="0" w:color="auto"/>
              <w:bottom w:val="single" w:sz="4" w:space="0" w:color="auto"/>
              <w:right w:val="single" w:sz="4" w:space="0" w:color="auto"/>
            </w:tcBorders>
            <w:shd w:val="clear" w:color="000000" w:fill="C0E6F5"/>
            <w:hideMark/>
          </w:tcPr>
          <w:p w14:paraId="2A4718A2" w14:textId="1D0B73A0" w:rsidR="00C34C32" w:rsidRPr="000D22FF" w:rsidRDefault="00C34C32" w:rsidP="000D22FF">
            <w:pPr>
              <w:spacing w:after="0" w:line="240" w:lineRule="auto"/>
              <w:jc w:val="center"/>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Περιγραφή</w:t>
            </w:r>
          </w:p>
        </w:tc>
        <w:tc>
          <w:tcPr>
            <w:tcW w:w="1276" w:type="dxa"/>
            <w:tcBorders>
              <w:top w:val="single" w:sz="4" w:space="0" w:color="auto"/>
              <w:left w:val="nil"/>
              <w:bottom w:val="single" w:sz="4" w:space="0" w:color="auto"/>
              <w:right w:val="single" w:sz="4" w:space="0" w:color="auto"/>
            </w:tcBorders>
            <w:shd w:val="clear" w:color="000000" w:fill="C0E6F5"/>
            <w:hideMark/>
          </w:tcPr>
          <w:p w14:paraId="3F3B2109" w14:textId="534D4E85" w:rsidR="00C34C32" w:rsidRPr="000D22FF" w:rsidRDefault="00C34C32" w:rsidP="00134504">
            <w:pPr>
              <w:spacing w:after="0" w:line="240" w:lineRule="auto"/>
              <w:jc w:val="center"/>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Άρθρο Οδηγίας</w:t>
            </w:r>
          </w:p>
          <w:p w14:paraId="0488CF1B" w14:textId="13A86BC5" w:rsidR="00C34C32" w:rsidRPr="000D22FF" w:rsidRDefault="00C34C32" w:rsidP="00134504">
            <w:pPr>
              <w:spacing w:after="0" w:line="240" w:lineRule="auto"/>
              <w:jc w:val="center"/>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val="en-US" w:eastAsia="el-GR"/>
                <w14:ligatures w14:val="none"/>
              </w:rPr>
              <w:t>2025/1</w:t>
            </w:r>
          </w:p>
        </w:tc>
        <w:tc>
          <w:tcPr>
            <w:tcW w:w="7654" w:type="dxa"/>
            <w:tcBorders>
              <w:top w:val="single" w:sz="4" w:space="0" w:color="auto"/>
              <w:left w:val="nil"/>
              <w:bottom w:val="single" w:sz="4" w:space="0" w:color="auto"/>
              <w:right w:val="single" w:sz="4" w:space="0" w:color="auto"/>
            </w:tcBorders>
            <w:shd w:val="clear" w:color="000000" w:fill="C0E6F5"/>
            <w:noWrap/>
            <w:hideMark/>
          </w:tcPr>
          <w:p w14:paraId="0F7DE088" w14:textId="24D9B22C" w:rsidR="00C34C32" w:rsidRPr="000D22FF" w:rsidRDefault="00C34C32" w:rsidP="00134504">
            <w:pPr>
              <w:spacing w:after="0" w:line="240" w:lineRule="auto"/>
              <w:jc w:val="center"/>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Κείμενο</w:t>
            </w:r>
          </w:p>
        </w:tc>
        <w:tc>
          <w:tcPr>
            <w:tcW w:w="4111" w:type="dxa"/>
            <w:tcBorders>
              <w:top w:val="single" w:sz="4" w:space="0" w:color="auto"/>
              <w:left w:val="nil"/>
              <w:bottom w:val="single" w:sz="4" w:space="0" w:color="auto"/>
              <w:right w:val="single" w:sz="4" w:space="0" w:color="auto"/>
            </w:tcBorders>
            <w:shd w:val="clear" w:color="000000" w:fill="C0E6F5"/>
            <w:hideMark/>
          </w:tcPr>
          <w:p w14:paraId="1970BEF9" w14:textId="5ED7CB56" w:rsidR="00C34C32" w:rsidRPr="000D22FF" w:rsidRDefault="00C34C32" w:rsidP="00134504">
            <w:pPr>
              <w:spacing w:after="0" w:line="240" w:lineRule="auto"/>
              <w:jc w:val="center"/>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Θέση</w:t>
            </w:r>
          </w:p>
        </w:tc>
      </w:tr>
      <w:tr w:rsidR="00C34C32" w:rsidRPr="000D22FF" w14:paraId="4A2B0A94" w14:textId="77777777" w:rsidTr="00C34C32">
        <w:trPr>
          <w:cantSplit/>
          <w:trHeight w:val="3298"/>
          <w:jc w:val="center"/>
        </w:trPr>
        <w:tc>
          <w:tcPr>
            <w:tcW w:w="2127" w:type="dxa"/>
            <w:tcBorders>
              <w:top w:val="nil"/>
              <w:left w:val="single" w:sz="4" w:space="0" w:color="auto"/>
              <w:bottom w:val="single" w:sz="4" w:space="0" w:color="auto"/>
              <w:right w:val="single" w:sz="4" w:space="0" w:color="auto"/>
            </w:tcBorders>
            <w:hideMark/>
          </w:tcPr>
          <w:p w14:paraId="05247664" w14:textId="013358E0"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Ευχέρεια για την θέσπιση ή διατήρηση  αυστηρότερων ή πρόσθετων κανόνων.</w:t>
            </w:r>
          </w:p>
          <w:p w14:paraId="11402F00" w14:textId="77777777"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p w14:paraId="62D4EDC2" w14:textId="29E534AF"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tc>
        <w:tc>
          <w:tcPr>
            <w:tcW w:w="1276" w:type="dxa"/>
            <w:tcBorders>
              <w:top w:val="nil"/>
              <w:left w:val="nil"/>
              <w:bottom w:val="single" w:sz="4" w:space="0" w:color="auto"/>
              <w:right w:val="single" w:sz="4" w:space="0" w:color="auto"/>
            </w:tcBorders>
            <w:noWrap/>
            <w:hideMark/>
          </w:tcPr>
          <w:p w14:paraId="1DB21CC5" w14:textId="7777777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1(2) </w:t>
            </w:r>
          </w:p>
        </w:tc>
        <w:tc>
          <w:tcPr>
            <w:tcW w:w="7654" w:type="dxa"/>
            <w:tcBorders>
              <w:top w:val="nil"/>
              <w:left w:val="nil"/>
              <w:bottom w:val="single" w:sz="4" w:space="0" w:color="auto"/>
              <w:right w:val="single" w:sz="4" w:space="0" w:color="auto"/>
            </w:tcBorders>
            <w:hideMark/>
          </w:tcPr>
          <w:p w14:paraId="3B78388A" w14:textId="77777777"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θεσπίζουν ή να διατηρούν αυστηρότερους ή πρόσθετους κανόνες πέραν αυτών που θεσπίζονται στην παρούσα οδηγία και στις κατ’ εξουσιοδότηση ή εκτελεστικές πράξεις που εκδίδονται βάσει της παρούσας οδηγίας, υπό τον όρο ότι οι κανόνες αυτοί έχουν γενική ισχύ και δεν αντίκεινται στην παρούσα οδηγία και στις κατ’ εξουσιοδότηση και εκτελεστικές πράξεις που εκδίδονται βάσει της παρούσας οδηγίας.</w:t>
            </w:r>
          </w:p>
          <w:p w14:paraId="55067D9E" w14:textId="381FEA9C" w:rsidR="00C34C32" w:rsidRPr="000D22FF" w:rsidRDefault="00C34C32" w:rsidP="004F3A7C">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D9F2D0" w:themeFill="accent6" w:themeFillTint="33"/>
            <w:hideMark/>
          </w:tcPr>
          <w:p w14:paraId="5A10AA0E" w14:textId="7135D288" w:rsidR="00C34C32"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 η ευχέρεια</w:t>
            </w:r>
            <w:r>
              <w:rPr>
                <w:rFonts w:ascii="Arial" w:eastAsia="Times New Roman" w:hAnsi="Arial" w:cs="Arial"/>
                <w:b/>
                <w:bCs/>
                <w:color w:val="000000"/>
                <w:kern w:val="0"/>
                <w:sz w:val="22"/>
                <w:szCs w:val="22"/>
                <w:lang w:eastAsia="el-GR"/>
                <w14:ligatures w14:val="none"/>
              </w:rPr>
              <w:t>.</w:t>
            </w:r>
          </w:p>
          <w:p w14:paraId="04158F67" w14:textId="56426940"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r>
      <w:tr w:rsidR="00C34C32" w:rsidRPr="000D22FF" w14:paraId="248E00B8" w14:textId="77777777" w:rsidTr="00C34C32">
        <w:trPr>
          <w:cantSplit/>
          <w:trHeight w:val="1631"/>
          <w:jc w:val="center"/>
        </w:trPr>
        <w:tc>
          <w:tcPr>
            <w:tcW w:w="2127" w:type="dxa"/>
            <w:vMerge w:val="restart"/>
            <w:tcBorders>
              <w:top w:val="nil"/>
              <w:left w:val="single" w:sz="4" w:space="0" w:color="auto"/>
              <w:bottom w:val="single" w:sz="4" w:space="0" w:color="auto"/>
              <w:right w:val="single" w:sz="4" w:space="0" w:color="auto"/>
            </w:tcBorders>
            <w:hideMark/>
          </w:tcPr>
          <w:p w14:paraId="071E2398" w14:textId="663D89D1"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Περιορισμός ευθύνης.</w:t>
            </w:r>
          </w:p>
        </w:tc>
        <w:tc>
          <w:tcPr>
            <w:tcW w:w="1276" w:type="dxa"/>
            <w:tcBorders>
              <w:top w:val="nil"/>
              <w:left w:val="nil"/>
              <w:bottom w:val="single" w:sz="4" w:space="0" w:color="auto"/>
              <w:right w:val="single" w:sz="4" w:space="0" w:color="auto"/>
            </w:tcBorders>
            <w:noWrap/>
            <w:hideMark/>
          </w:tcPr>
          <w:p w14:paraId="2A48269B" w14:textId="4C17CF1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3(11)</w:t>
            </w:r>
          </w:p>
        </w:tc>
        <w:tc>
          <w:tcPr>
            <w:tcW w:w="7654" w:type="dxa"/>
            <w:tcBorders>
              <w:top w:val="nil"/>
              <w:left w:val="nil"/>
              <w:bottom w:val="single" w:sz="4" w:space="0" w:color="auto"/>
              <w:right w:val="single" w:sz="4" w:space="0" w:color="auto"/>
            </w:tcBorders>
            <w:hideMark/>
          </w:tcPr>
          <w:p w14:paraId="2CFDDE7A" w14:textId="565B753C"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 </w:t>
            </w: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περιορίζουν την ευθύνη της αρχής εξυγίανσης, της εποπτικής αρχής και του προσωπικού τους σύμφωνα με την εθνική νομοθεσία για τις πράξεις και παραλείψεις τους κατά την εκτέλεση των καθηκόντων τους που απορρέουν από την παρούσα οδηγία.</w:t>
            </w:r>
          </w:p>
        </w:tc>
        <w:tc>
          <w:tcPr>
            <w:tcW w:w="4111" w:type="dxa"/>
            <w:tcBorders>
              <w:top w:val="nil"/>
              <w:left w:val="nil"/>
              <w:bottom w:val="single" w:sz="4" w:space="0" w:color="auto"/>
              <w:right w:val="single" w:sz="4" w:space="0" w:color="auto"/>
            </w:tcBorders>
            <w:shd w:val="clear" w:color="auto" w:fill="D9F2D0" w:themeFill="accent6" w:themeFillTint="33"/>
            <w:hideMark/>
          </w:tcPr>
          <w:p w14:paraId="1B86FC69" w14:textId="6FFA525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 η ευχέρεια.</w:t>
            </w:r>
          </w:p>
        </w:tc>
      </w:tr>
      <w:tr w:rsidR="00C34C32" w:rsidRPr="000D22FF" w14:paraId="6AD2F8CA" w14:textId="77777777" w:rsidTr="00C34C32">
        <w:trPr>
          <w:cantSplit/>
          <w:trHeight w:val="603"/>
          <w:jc w:val="center"/>
        </w:trPr>
        <w:tc>
          <w:tcPr>
            <w:tcW w:w="2127" w:type="dxa"/>
            <w:vMerge/>
            <w:tcBorders>
              <w:top w:val="nil"/>
              <w:left w:val="single" w:sz="4" w:space="0" w:color="auto"/>
              <w:bottom w:val="single" w:sz="4" w:space="0" w:color="auto"/>
              <w:right w:val="single" w:sz="4" w:space="0" w:color="auto"/>
            </w:tcBorders>
            <w:hideMark/>
          </w:tcPr>
          <w:p w14:paraId="76BE4BA3" w14:textId="77777777"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tc>
        <w:tc>
          <w:tcPr>
            <w:tcW w:w="1276" w:type="dxa"/>
            <w:tcBorders>
              <w:top w:val="nil"/>
              <w:left w:val="nil"/>
              <w:bottom w:val="single" w:sz="4" w:space="0" w:color="auto"/>
              <w:right w:val="single" w:sz="4" w:space="0" w:color="auto"/>
            </w:tcBorders>
            <w:noWrap/>
            <w:hideMark/>
          </w:tcPr>
          <w:p w14:paraId="7D68A046" w14:textId="4870782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30(9) </w:t>
            </w:r>
          </w:p>
        </w:tc>
        <w:tc>
          <w:tcPr>
            <w:tcW w:w="7654" w:type="dxa"/>
            <w:tcBorders>
              <w:top w:val="nil"/>
              <w:left w:val="nil"/>
              <w:bottom w:val="single" w:sz="4" w:space="0" w:color="auto"/>
              <w:right w:val="single" w:sz="4" w:space="0" w:color="auto"/>
            </w:tcBorders>
            <w:hideMark/>
          </w:tcPr>
          <w:p w14:paraId="1E430667" w14:textId="77777777" w:rsidR="00C34C32" w:rsidRPr="00CA27DD"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περιορίσουν την ευθύνη ενός φορέα διαχείρισης στοιχείων ενεργητικού και παθητικού και των μελών του διοικητικού, διαχειριστικού ή εποπτικού οργάνου του ή των ανώτατων διοικητικών στελεχών του για πράξεις και παραλείψεις κατά την εκτέλεση των καθηκόντων τους.</w:t>
            </w:r>
          </w:p>
          <w:p w14:paraId="31D9AB92" w14:textId="21935430" w:rsidR="00C34C32" w:rsidRPr="00CA27DD"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D9F2D0" w:themeFill="accent6" w:themeFillTint="33"/>
            <w:hideMark/>
          </w:tcPr>
          <w:p w14:paraId="2AD28F5F" w14:textId="27BF465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 η ευχέρεια.</w:t>
            </w:r>
          </w:p>
        </w:tc>
      </w:tr>
      <w:tr w:rsidR="00C34C32" w:rsidRPr="000D22FF" w14:paraId="5000B2C3" w14:textId="77777777" w:rsidTr="00C34C32">
        <w:trPr>
          <w:cantSplit/>
          <w:trHeight w:val="1631"/>
          <w:jc w:val="center"/>
        </w:trPr>
        <w:tc>
          <w:tcPr>
            <w:tcW w:w="2127" w:type="dxa"/>
            <w:vMerge/>
            <w:tcBorders>
              <w:top w:val="nil"/>
              <w:left w:val="single" w:sz="4" w:space="0" w:color="auto"/>
              <w:bottom w:val="single" w:sz="4" w:space="0" w:color="auto"/>
              <w:right w:val="single" w:sz="4" w:space="0" w:color="auto"/>
            </w:tcBorders>
            <w:hideMark/>
          </w:tcPr>
          <w:p w14:paraId="3A9F4FF3" w14:textId="77777777"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tc>
        <w:tc>
          <w:tcPr>
            <w:tcW w:w="1276" w:type="dxa"/>
            <w:tcBorders>
              <w:top w:val="nil"/>
              <w:left w:val="nil"/>
              <w:bottom w:val="single" w:sz="4" w:space="0" w:color="auto"/>
              <w:right w:val="single" w:sz="4" w:space="0" w:color="auto"/>
            </w:tcBorders>
            <w:noWrap/>
            <w:hideMark/>
          </w:tcPr>
          <w:p w14:paraId="0CCAECC8" w14:textId="1DBE3EFF"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32(7)</w:t>
            </w:r>
          </w:p>
        </w:tc>
        <w:tc>
          <w:tcPr>
            <w:tcW w:w="7654" w:type="dxa"/>
            <w:tcBorders>
              <w:top w:val="nil"/>
              <w:left w:val="nil"/>
              <w:bottom w:val="single" w:sz="4" w:space="0" w:color="auto"/>
              <w:right w:val="single" w:sz="4" w:space="0" w:color="auto"/>
            </w:tcBorders>
            <w:hideMark/>
          </w:tcPr>
          <w:p w14:paraId="7B0904B2" w14:textId="77777777" w:rsidR="00C34C32" w:rsidRPr="000D22FF" w:rsidRDefault="00C34C32" w:rsidP="00891968">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περιορίσουν περαιτέρω την ευθύνη μιας μεταβατικής επιχείρησης και των μελών του διοικητικού, διαχειριστικού ή εποπτικού της οργάνου ή των ανώτατων διοικητικών στελεχών της, σύμφωνα με την εθνική νομοθεσία, για πράξεις και παραλείψεις κατά την εκτέλεση των καθηκόντων τους.</w:t>
            </w:r>
          </w:p>
          <w:p w14:paraId="5FEA5D6A" w14:textId="77777777"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D9F2D0" w:themeFill="accent6" w:themeFillTint="33"/>
            <w:hideMark/>
          </w:tcPr>
          <w:p w14:paraId="6B810744" w14:textId="29BF3775"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 η ευχέρεια.</w:t>
            </w:r>
          </w:p>
        </w:tc>
      </w:tr>
      <w:tr w:rsidR="00C34C32" w:rsidRPr="000D22FF" w14:paraId="759886F8" w14:textId="77777777" w:rsidTr="00C34C32">
        <w:trPr>
          <w:cantSplit/>
          <w:trHeight w:val="2760"/>
          <w:jc w:val="center"/>
        </w:trPr>
        <w:tc>
          <w:tcPr>
            <w:tcW w:w="2127" w:type="dxa"/>
            <w:tcBorders>
              <w:top w:val="nil"/>
              <w:left w:val="single" w:sz="4" w:space="0" w:color="auto"/>
              <w:bottom w:val="single" w:sz="4" w:space="0" w:color="auto"/>
              <w:right w:val="single" w:sz="4" w:space="0" w:color="auto"/>
            </w:tcBorders>
            <w:hideMark/>
          </w:tcPr>
          <w:p w14:paraId="45D6D4CE" w14:textId="5E133010" w:rsidR="00C34C32" w:rsidRPr="00132266" w:rsidRDefault="00C34C32" w:rsidP="000D22FF">
            <w:pPr>
              <w:spacing w:after="0" w:line="240" w:lineRule="auto"/>
              <w:rPr>
                <w:rFonts w:ascii="Arial" w:eastAsia="Times New Roman" w:hAnsi="Arial" w:cs="Arial"/>
                <w:color w:val="000000"/>
                <w:kern w:val="0"/>
                <w:sz w:val="22"/>
                <w:szCs w:val="22"/>
                <w:lang w:eastAsia="el-GR"/>
                <w14:ligatures w14:val="none"/>
              </w:rPr>
            </w:pPr>
            <w:r w:rsidRPr="00F97D2F">
              <w:rPr>
                <w:rFonts w:ascii="Arial" w:eastAsia="Times New Roman" w:hAnsi="Arial" w:cs="Arial"/>
                <w:color w:val="000000"/>
                <w:kern w:val="0"/>
                <w:sz w:val="22"/>
                <w:szCs w:val="22"/>
                <w:lang w:eastAsia="el-GR"/>
                <w14:ligatures w14:val="none"/>
              </w:rPr>
              <w:t>Πρόσθετα εργαλεία και εξουσίες στην αρχή εξυγίανσης</w:t>
            </w:r>
            <w:r w:rsidRPr="00132266">
              <w:rPr>
                <w:rFonts w:ascii="Arial" w:eastAsia="Times New Roman" w:hAnsi="Arial" w:cs="Arial"/>
                <w:color w:val="000000"/>
                <w:kern w:val="0"/>
                <w:sz w:val="22"/>
                <w:szCs w:val="22"/>
                <w:lang w:eastAsia="el-GR"/>
                <w14:ligatures w14:val="none"/>
              </w:rPr>
              <w:t>.</w:t>
            </w:r>
          </w:p>
        </w:tc>
        <w:tc>
          <w:tcPr>
            <w:tcW w:w="1276" w:type="dxa"/>
            <w:tcBorders>
              <w:top w:val="nil"/>
              <w:left w:val="nil"/>
              <w:bottom w:val="single" w:sz="4" w:space="0" w:color="auto"/>
              <w:right w:val="single" w:sz="4" w:space="0" w:color="auto"/>
            </w:tcBorders>
            <w:noWrap/>
            <w:hideMark/>
          </w:tcPr>
          <w:p w14:paraId="5DAEC73D" w14:textId="1B59DD17" w:rsidR="00C34C32" w:rsidRPr="00132266"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F97D2F">
              <w:rPr>
                <w:rFonts w:ascii="Arial" w:eastAsia="Times New Roman" w:hAnsi="Arial" w:cs="Arial"/>
                <w:b/>
                <w:bCs/>
                <w:color w:val="000000"/>
                <w:kern w:val="0"/>
                <w:sz w:val="22"/>
                <w:szCs w:val="22"/>
                <w:lang w:eastAsia="el-GR"/>
                <w14:ligatures w14:val="none"/>
              </w:rPr>
              <w:t>26(7)</w:t>
            </w:r>
          </w:p>
        </w:tc>
        <w:tc>
          <w:tcPr>
            <w:tcW w:w="7654" w:type="dxa"/>
            <w:tcBorders>
              <w:top w:val="nil"/>
              <w:left w:val="nil"/>
              <w:bottom w:val="single" w:sz="4" w:space="0" w:color="auto"/>
              <w:right w:val="single" w:sz="4" w:space="0" w:color="auto"/>
            </w:tcBorders>
            <w:hideMark/>
          </w:tcPr>
          <w:p w14:paraId="21C976C4" w14:textId="77777777" w:rsidR="00C34C32" w:rsidRPr="000D22FF" w:rsidRDefault="00C34C32" w:rsidP="00891968">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αναθέτουν στις αρχές εξυγίανσης πρόσθετα εργαλεία και εξουσίες που μπορούν να ασκούνται όταν μια οντότητα που αναφέρεται στο άρθρο 1 παράγραφος 1 στοιχεία α) έως ε) πληροί τις προϋποθέσεις εξυγίανσης που αναφέρονται στο άρθρο 19 παράγραφος 1 ή στο άρθρο 20 παράγραφος 3, εφόσον: </w:t>
            </w:r>
          </w:p>
          <w:p w14:paraId="151E584A" w14:textId="1B0416EF"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val="en-GB" w:eastAsia="el-GR"/>
                <w14:ligatures w14:val="none"/>
              </w:rPr>
              <w:t>…</w:t>
            </w:r>
            <w:r w:rsidRPr="000D22FF">
              <w:rPr>
                <w:rFonts w:ascii="Arial" w:eastAsia="Times New Roman" w:hAnsi="Arial" w:cs="Arial"/>
                <w:color w:val="000000"/>
                <w:kern w:val="0"/>
                <w:sz w:val="22"/>
                <w:szCs w:val="22"/>
                <w:lang w:val="en-US" w:eastAsia="el-GR"/>
                <w14:ligatures w14:val="none"/>
              </w:rPr>
              <w:t xml:space="preserve"> </w:t>
            </w:r>
          </w:p>
        </w:tc>
        <w:tc>
          <w:tcPr>
            <w:tcW w:w="4111" w:type="dxa"/>
            <w:tcBorders>
              <w:top w:val="nil"/>
              <w:left w:val="nil"/>
              <w:bottom w:val="single" w:sz="4" w:space="0" w:color="auto"/>
              <w:right w:val="single" w:sz="4" w:space="0" w:color="auto"/>
            </w:tcBorders>
            <w:shd w:val="clear" w:color="auto" w:fill="F6C5AC" w:themeFill="accent2" w:themeFillTint="66"/>
            <w:hideMark/>
          </w:tcPr>
          <w:p w14:paraId="48FFF0C6" w14:textId="03B4CBFF" w:rsidR="00C34C32" w:rsidRPr="00B96D37"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 xml:space="preserve">Δεν ασκήθηκε </w:t>
            </w:r>
            <w:r w:rsidRPr="000D22FF">
              <w:rPr>
                <w:rFonts w:ascii="Arial" w:eastAsia="Times New Roman" w:hAnsi="Arial" w:cs="Arial"/>
                <w:b/>
                <w:bCs/>
                <w:color w:val="000000"/>
                <w:kern w:val="0"/>
                <w:sz w:val="22"/>
                <w:szCs w:val="22"/>
                <w:lang w:eastAsia="el-GR"/>
                <w14:ligatures w14:val="none"/>
              </w:rPr>
              <w:t>η ευχέρεια.</w:t>
            </w:r>
          </w:p>
          <w:p w14:paraId="1CA98D52" w14:textId="77777777" w:rsidR="00C34C32" w:rsidRPr="00B77625"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p w14:paraId="349C91F7" w14:textId="4A02AD02" w:rsidR="00C34C32" w:rsidRPr="00321F1D"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r>
      <w:tr w:rsidR="00C34C32" w:rsidRPr="000D22FF" w14:paraId="41B66A20" w14:textId="77777777" w:rsidTr="00C34C32">
        <w:trPr>
          <w:cantSplit/>
          <w:trHeight w:val="2405"/>
          <w:jc w:val="center"/>
        </w:trPr>
        <w:tc>
          <w:tcPr>
            <w:tcW w:w="2127" w:type="dxa"/>
            <w:tcBorders>
              <w:top w:val="nil"/>
              <w:left w:val="single" w:sz="4" w:space="0" w:color="auto"/>
              <w:bottom w:val="single" w:sz="4" w:space="0" w:color="auto"/>
              <w:right w:val="single" w:sz="4" w:space="0" w:color="auto"/>
            </w:tcBorders>
            <w:hideMark/>
          </w:tcPr>
          <w:p w14:paraId="777EDAEA" w14:textId="29B4F962"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Ανάθεση σε σύστημα εγγύησης ασφάλισης των καθηκόντων και δικαιωμάτων μιας μεταβατικής επιχείρησης. </w:t>
            </w:r>
          </w:p>
        </w:tc>
        <w:tc>
          <w:tcPr>
            <w:tcW w:w="1276" w:type="dxa"/>
            <w:tcBorders>
              <w:top w:val="nil"/>
              <w:left w:val="nil"/>
              <w:bottom w:val="single" w:sz="4" w:space="0" w:color="auto"/>
              <w:right w:val="single" w:sz="4" w:space="0" w:color="auto"/>
            </w:tcBorders>
            <w:noWrap/>
            <w:hideMark/>
          </w:tcPr>
          <w:p w14:paraId="58A148E7" w14:textId="6183859C"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34(1) </w:t>
            </w:r>
          </w:p>
        </w:tc>
        <w:tc>
          <w:tcPr>
            <w:tcW w:w="7654" w:type="dxa"/>
            <w:tcBorders>
              <w:top w:val="nil"/>
              <w:left w:val="nil"/>
              <w:bottom w:val="single" w:sz="4" w:space="0" w:color="auto"/>
              <w:right w:val="single" w:sz="4" w:space="0" w:color="auto"/>
            </w:tcBorders>
            <w:hideMark/>
          </w:tcPr>
          <w:p w14:paraId="3E76B689" w14:textId="58B6B53A"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 </w:t>
            </w:r>
            <w:r w:rsidRPr="000D22FF">
              <w:rPr>
                <w:rFonts w:ascii="Arial" w:eastAsia="Times New Roman" w:hAnsi="Arial" w:cs="Arial"/>
                <w:b/>
                <w:bCs/>
                <w:color w:val="000000"/>
                <w:kern w:val="0"/>
                <w:sz w:val="22"/>
                <w:szCs w:val="22"/>
                <w:lang w:eastAsia="el-GR"/>
                <w14:ligatures w14:val="none"/>
              </w:rPr>
              <w:t>τα</w:t>
            </w:r>
            <w:r w:rsidRPr="000D22FF">
              <w:rPr>
                <w:rFonts w:ascii="Arial" w:eastAsia="Times New Roman" w:hAnsi="Arial" w:cs="Arial"/>
                <w:color w:val="000000"/>
                <w:kern w:val="0"/>
                <w:sz w:val="22"/>
                <w:szCs w:val="22"/>
                <w:lang w:eastAsia="el-GR"/>
                <w14:ligatures w14:val="none"/>
              </w:rPr>
              <w:t xml:space="preserve"> </w:t>
            </w:r>
            <w:r w:rsidRPr="000D22FF">
              <w:rPr>
                <w:rFonts w:ascii="Arial" w:eastAsia="Times New Roman" w:hAnsi="Arial" w:cs="Arial"/>
                <w:b/>
                <w:bCs/>
                <w:color w:val="000000"/>
                <w:kern w:val="0"/>
                <w:sz w:val="22"/>
                <w:szCs w:val="22"/>
                <w:lang w:eastAsia="el-GR"/>
                <w14:ligatures w14:val="none"/>
              </w:rPr>
              <w:t>κράτη μέλη μπορούν</w:t>
            </w:r>
            <w:r w:rsidRPr="000D22FF">
              <w:rPr>
                <w:rFonts w:ascii="Arial" w:eastAsia="Times New Roman" w:hAnsi="Arial" w:cs="Arial"/>
                <w:color w:val="000000"/>
                <w:kern w:val="0"/>
                <w:sz w:val="22"/>
                <w:szCs w:val="22"/>
                <w:lang w:eastAsia="el-GR"/>
                <w14:ligatures w14:val="none"/>
              </w:rPr>
              <w:t xml:space="preserve"> να προβλέπουν ανάθεση σε κατάλληλο σύστημα εγγύησης ασφάλισης των καθηκόντων και δικαιωμάτων μιας μεταβατικής επιχείρησης. </w:t>
            </w:r>
          </w:p>
        </w:tc>
        <w:tc>
          <w:tcPr>
            <w:tcW w:w="4111" w:type="dxa"/>
            <w:tcBorders>
              <w:top w:val="nil"/>
              <w:left w:val="nil"/>
              <w:bottom w:val="single" w:sz="4" w:space="0" w:color="auto"/>
              <w:right w:val="single" w:sz="4" w:space="0" w:color="auto"/>
            </w:tcBorders>
            <w:shd w:val="clear" w:color="auto" w:fill="F6C5AC" w:themeFill="accent2" w:themeFillTint="66"/>
            <w:hideMark/>
          </w:tcPr>
          <w:p w14:paraId="24A179CE" w14:textId="1A3D5D15"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w:t>
            </w:r>
          </w:p>
          <w:p w14:paraId="6AD3281A" w14:textId="32DAFB09"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br/>
            </w:r>
          </w:p>
        </w:tc>
      </w:tr>
      <w:tr w:rsidR="00C34C32" w:rsidRPr="000D22FF" w14:paraId="2E28F6D7" w14:textId="77777777" w:rsidTr="00C34C32">
        <w:trPr>
          <w:cantSplit/>
          <w:trHeight w:val="1507"/>
          <w:jc w:val="center"/>
        </w:trPr>
        <w:tc>
          <w:tcPr>
            <w:tcW w:w="2127" w:type="dxa"/>
            <w:vMerge w:val="restart"/>
            <w:tcBorders>
              <w:top w:val="nil"/>
              <w:left w:val="single" w:sz="4" w:space="0" w:color="auto"/>
              <w:right w:val="single" w:sz="4" w:space="0" w:color="auto"/>
            </w:tcBorders>
            <w:hideMark/>
          </w:tcPr>
          <w:p w14:paraId="0E12310F" w14:textId="460D9FB2"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Εξαίρεση πρόσθετων υποχρεώσεων από την εφαρμογή του μέτρου </w:t>
            </w:r>
            <w:proofErr w:type="spellStart"/>
            <w:r w:rsidRPr="000D22FF">
              <w:rPr>
                <w:rFonts w:ascii="Arial" w:eastAsia="Times New Roman" w:hAnsi="Arial" w:cs="Arial"/>
                <w:color w:val="000000"/>
                <w:kern w:val="0"/>
                <w:sz w:val="22"/>
                <w:szCs w:val="22"/>
                <w:lang w:eastAsia="el-GR"/>
                <w14:ligatures w14:val="none"/>
              </w:rPr>
              <w:t>απομείωσης</w:t>
            </w:r>
            <w:proofErr w:type="spellEnd"/>
            <w:r w:rsidRPr="000D22FF">
              <w:rPr>
                <w:rFonts w:ascii="Arial" w:eastAsia="Times New Roman" w:hAnsi="Arial" w:cs="Arial"/>
                <w:color w:val="000000"/>
                <w:kern w:val="0"/>
                <w:sz w:val="22"/>
                <w:szCs w:val="22"/>
                <w:lang w:eastAsia="el-GR"/>
                <w14:ligatures w14:val="none"/>
              </w:rPr>
              <w:t xml:space="preserve"> ή μετατροπής.</w:t>
            </w:r>
          </w:p>
        </w:tc>
        <w:tc>
          <w:tcPr>
            <w:tcW w:w="1276" w:type="dxa"/>
            <w:vMerge w:val="restart"/>
            <w:tcBorders>
              <w:top w:val="nil"/>
              <w:left w:val="nil"/>
              <w:right w:val="single" w:sz="4" w:space="0" w:color="auto"/>
            </w:tcBorders>
            <w:noWrap/>
            <w:hideMark/>
          </w:tcPr>
          <w:p w14:paraId="28E0DBC5" w14:textId="72109043" w:rsidR="00C34C32" w:rsidRPr="00132266" w:rsidRDefault="00C34C32" w:rsidP="00134504">
            <w:pPr>
              <w:spacing w:after="0" w:line="240" w:lineRule="auto"/>
              <w:jc w:val="both"/>
              <w:rPr>
                <w:rFonts w:ascii="Arial" w:eastAsia="Times New Roman" w:hAnsi="Arial" w:cs="Arial"/>
                <w:b/>
                <w:bCs/>
                <w:color w:val="000000"/>
                <w:kern w:val="0"/>
                <w:sz w:val="22"/>
                <w:szCs w:val="22"/>
                <w:lang w:val="en-US" w:eastAsia="el-GR"/>
                <w14:ligatures w14:val="none"/>
              </w:rPr>
            </w:pPr>
            <w:r w:rsidRPr="000D22FF">
              <w:rPr>
                <w:rFonts w:ascii="Arial" w:eastAsia="Times New Roman" w:hAnsi="Arial" w:cs="Arial"/>
                <w:b/>
                <w:bCs/>
                <w:color w:val="000000"/>
                <w:kern w:val="0"/>
                <w:sz w:val="22"/>
                <w:szCs w:val="22"/>
                <w:lang w:eastAsia="el-GR"/>
                <w14:ligatures w14:val="none"/>
              </w:rPr>
              <w:t>35(6)</w:t>
            </w:r>
            <w:r>
              <w:rPr>
                <w:rFonts w:ascii="Arial" w:eastAsia="Times New Roman" w:hAnsi="Arial" w:cs="Arial"/>
                <w:b/>
                <w:bCs/>
                <w:color w:val="000000"/>
                <w:kern w:val="0"/>
                <w:sz w:val="22"/>
                <w:szCs w:val="22"/>
                <w:lang w:val="en-US" w:eastAsia="el-GR"/>
                <w14:ligatures w14:val="none"/>
              </w:rPr>
              <w:t xml:space="preserve"> </w:t>
            </w:r>
          </w:p>
          <w:p w14:paraId="09E8C6D7" w14:textId="49E09DE4" w:rsidR="00C34C32" w:rsidRPr="00F97D2F" w:rsidRDefault="00C34C32" w:rsidP="00134504">
            <w:pPr>
              <w:spacing w:after="0" w:line="240" w:lineRule="auto"/>
              <w:jc w:val="both"/>
              <w:rPr>
                <w:rFonts w:ascii="Arial" w:eastAsia="Times New Roman" w:hAnsi="Arial" w:cs="Arial"/>
                <w:b/>
                <w:bCs/>
                <w:color w:val="000000"/>
                <w:kern w:val="0"/>
                <w:sz w:val="22"/>
                <w:szCs w:val="22"/>
                <w:lang w:val="en-US" w:eastAsia="el-GR"/>
                <w14:ligatures w14:val="none"/>
              </w:rPr>
            </w:pPr>
            <w:r>
              <w:rPr>
                <w:rFonts w:ascii="Arial" w:eastAsia="Times New Roman" w:hAnsi="Arial" w:cs="Arial"/>
                <w:b/>
                <w:bCs/>
                <w:color w:val="000000"/>
                <w:kern w:val="0"/>
                <w:sz w:val="22"/>
                <w:szCs w:val="22"/>
                <w:lang w:eastAsia="el-GR"/>
                <w14:ligatures w14:val="none"/>
              </w:rPr>
              <w:t>(α) και (β)</w:t>
            </w:r>
            <w:r>
              <w:rPr>
                <w:rFonts w:ascii="Arial" w:eastAsia="Times New Roman" w:hAnsi="Arial" w:cs="Arial"/>
                <w:b/>
                <w:bCs/>
                <w:color w:val="000000"/>
                <w:kern w:val="0"/>
                <w:sz w:val="22"/>
                <w:szCs w:val="22"/>
                <w:lang w:val="en-US" w:eastAsia="el-GR"/>
                <w14:ligatures w14:val="none"/>
              </w:rPr>
              <w:t>.</w:t>
            </w:r>
          </w:p>
          <w:p w14:paraId="6AF0C159" w14:textId="5AC0F613" w:rsidR="00C34C32" w:rsidRPr="009E1D83"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c>
          <w:tcPr>
            <w:tcW w:w="7654" w:type="dxa"/>
            <w:vMerge w:val="restart"/>
            <w:tcBorders>
              <w:top w:val="nil"/>
              <w:left w:val="nil"/>
              <w:right w:val="single" w:sz="4" w:space="0" w:color="auto"/>
            </w:tcBorders>
            <w:hideMark/>
          </w:tcPr>
          <w:p w14:paraId="2F202B4E" w14:textId="77777777" w:rsidR="00C34C32" w:rsidRPr="000D22FF" w:rsidRDefault="00C34C32" w:rsidP="00966BE7">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προβλέπουν ότι οι αρχές εξυγίανσης δεν εφαρμόζουν το εργαλείο </w:t>
            </w:r>
            <w:proofErr w:type="spellStart"/>
            <w:r w:rsidRPr="000D22FF">
              <w:rPr>
                <w:rFonts w:ascii="Arial" w:eastAsia="Times New Roman" w:hAnsi="Arial" w:cs="Arial"/>
                <w:color w:val="000000"/>
                <w:kern w:val="0"/>
                <w:sz w:val="22"/>
                <w:szCs w:val="22"/>
                <w:lang w:eastAsia="el-GR"/>
                <w14:ligatures w14:val="none"/>
              </w:rPr>
              <w:t>απομείωσης</w:t>
            </w:r>
            <w:proofErr w:type="spellEnd"/>
            <w:r w:rsidRPr="000D22FF">
              <w:rPr>
                <w:rFonts w:ascii="Arial" w:eastAsia="Times New Roman" w:hAnsi="Arial" w:cs="Arial"/>
                <w:color w:val="000000"/>
                <w:kern w:val="0"/>
                <w:sz w:val="22"/>
                <w:szCs w:val="22"/>
                <w:lang w:eastAsia="el-GR"/>
                <w14:ligatures w14:val="none"/>
              </w:rPr>
              <w:t xml:space="preserve"> ή μετατροπής σε σχέση με:</w:t>
            </w:r>
          </w:p>
          <w:p w14:paraId="4A8FF75B" w14:textId="77777777" w:rsidR="00C34C32" w:rsidRPr="000D22FF" w:rsidRDefault="00C34C32" w:rsidP="00966BE7">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α) υποχρεώσεις που προκύπτουν από τρέχουσες και μελλοντικές απαιτήσεις εξ ασφαλίσεως που καλύπτονται από στοιχεία ενεργητικού σύμφωνα με το άρθρο 275 παράγραφος 1 στοιχείο α) της οδηγίας 2009/138/ΕΚ· </w:t>
            </w:r>
          </w:p>
          <w:p w14:paraId="7D559E59" w14:textId="77777777" w:rsidR="00C34C32" w:rsidRPr="000D22FF" w:rsidRDefault="00C34C32" w:rsidP="00966BE7">
            <w:pPr>
              <w:spacing w:after="0" w:line="240" w:lineRule="auto"/>
              <w:jc w:val="both"/>
              <w:rPr>
                <w:rFonts w:ascii="Arial" w:eastAsia="Times New Roman" w:hAnsi="Arial" w:cs="Arial"/>
                <w:color w:val="000000"/>
                <w:kern w:val="0"/>
                <w:sz w:val="22"/>
                <w:szCs w:val="22"/>
                <w:lang w:eastAsia="el-GR"/>
                <w14:ligatures w14:val="none"/>
              </w:rPr>
            </w:pPr>
          </w:p>
          <w:p w14:paraId="31365650" w14:textId="1D53138F"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β) υποχρεώσεις που προκύπτουν από ιδιωτικές συμβάσεις ασφάλισης ασθενείας ή ιδιωτικές συμβάσεις ασφάλισης μακροχρόνιας φροντίδας· που αντικαθιστούν την υποχρεωτική κάλυψη ασθενείας ή μακροχρόνιας φροντίδας που παρέχει το εκ του νόμου σύστημα κοινωνικής ασφάλισης· η εξαίρεση ισχύει μόνο για το μέρος της σχετικής ευθύνης που αντικαθιστά την υποχρεωτική συνιστώσα του εκ του νόμου συστήματος κοινωνικής ασφάλισης.</w:t>
            </w:r>
          </w:p>
        </w:tc>
        <w:tc>
          <w:tcPr>
            <w:tcW w:w="4111" w:type="dxa"/>
            <w:tcBorders>
              <w:top w:val="nil"/>
              <w:left w:val="nil"/>
              <w:bottom w:val="single" w:sz="4" w:space="0" w:color="auto"/>
              <w:right w:val="single" w:sz="4" w:space="0" w:color="auto"/>
            </w:tcBorders>
            <w:shd w:val="clear" w:color="auto" w:fill="D9F2D0" w:themeFill="accent6" w:themeFillTint="33"/>
            <w:hideMark/>
          </w:tcPr>
          <w:p w14:paraId="14433BBA" w14:textId="5AF2A560" w:rsidR="00C34C32" w:rsidRPr="00C9084B"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w:t>
            </w:r>
            <w:r w:rsidRPr="000D22FF">
              <w:rPr>
                <w:rFonts w:ascii="Arial" w:eastAsia="Times New Roman" w:hAnsi="Arial" w:cs="Arial"/>
                <w:b/>
                <w:bCs/>
                <w:color w:val="000000"/>
                <w:kern w:val="0"/>
                <w:sz w:val="22"/>
                <w:szCs w:val="22"/>
                <w:lang w:eastAsia="el-GR"/>
                <w14:ligatures w14:val="none"/>
              </w:rPr>
              <w:t xml:space="preserve"> η ευχέρεια</w:t>
            </w:r>
            <w:r>
              <w:rPr>
                <w:rFonts w:ascii="Arial" w:eastAsia="Times New Roman" w:hAnsi="Arial" w:cs="Arial"/>
                <w:b/>
                <w:bCs/>
                <w:color w:val="000000"/>
                <w:kern w:val="0"/>
                <w:sz w:val="22"/>
                <w:szCs w:val="22"/>
                <w:lang w:eastAsia="el-GR"/>
                <w14:ligatures w14:val="none"/>
              </w:rPr>
              <w:t>.</w:t>
            </w:r>
          </w:p>
          <w:p w14:paraId="10DF020D" w14:textId="7777777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p w14:paraId="7C0AE84D" w14:textId="7777777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p w14:paraId="1AE9A0FA" w14:textId="77777777" w:rsidR="00C34C32" w:rsidRPr="00CA27DD"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p w14:paraId="646FC016" w14:textId="4D376146"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r>
      <w:tr w:rsidR="00C34C32" w:rsidRPr="000D22FF" w14:paraId="50331AEE" w14:textId="77777777" w:rsidTr="00C34C32">
        <w:trPr>
          <w:cantSplit/>
          <w:trHeight w:val="2051"/>
          <w:jc w:val="center"/>
        </w:trPr>
        <w:tc>
          <w:tcPr>
            <w:tcW w:w="2127" w:type="dxa"/>
            <w:vMerge/>
            <w:tcBorders>
              <w:left w:val="single" w:sz="4" w:space="0" w:color="auto"/>
              <w:bottom w:val="single" w:sz="4" w:space="0" w:color="auto"/>
              <w:right w:val="single" w:sz="4" w:space="0" w:color="auto"/>
            </w:tcBorders>
          </w:tcPr>
          <w:p w14:paraId="174BCF52" w14:textId="77777777"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tc>
        <w:tc>
          <w:tcPr>
            <w:tcW w:w="1276" w:type="dxa"/>
            <w:vMerge/>
            <w:tcBorders>
              <w:left w:val="nil"/>
              <w:bottom w:val="single" w:sz="4" w:space="0" w:color="auto"/>
              <w:right w:val="single" w:sz="4" w:space="0" w:color="auto"/>
            </w:tcBorders>
            <w:noWrap/>
          </w:tcPr>
          <w:p w14:paraId="525D3B94" w14:textId="7777777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c>
          <w:tcPr>
            <w:tcW w:w="7654" w:type="dxa"/>
            <w:vMerge/>
            <w:tcBorders>
              <w:left w:val="nil"/>
              <w:bottom w:val="single" w:sz="4" w:space="0" w:color="auto"/>
              <w:right w:val="single" w:sz="4" w:space="0" w:color="auto"/>
            </w:tcBorders>
          </w:tcPr>
          <w:p w14:paraId="5DC37ED8" w14:textId="77777777"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F6C5AC" w:themeFill="accent2" w:themeFillTint="66"/>
          </w:tcPr>
          <w:p w14:paraId="29C39B8C" w14:textId="36416514"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w:t>
            </w:r>
            <w:r>
              <w:rPr>
                <w:rFonts w:ascii="Arial" w:eastAsia="Times New Roman" w:hAnsi="Arial" w:cs="Arial"/>
                <w:b/>
                <w:bCs/>
                <w:color w:val="000000"/>
                <w:kern w:val="0"/>
                <w:sz w:val="22"/>
                <w:szCs w:val="22"/>
                <w:lang w:eastAsia="el-GR"/>
                <w14:ligatures w14:val="none"/>
              </w:rPr>
              <w:t>.</w:t>
            </w:r>
            <w:r w:rsidRPr="000D22FF">
              <w:rPr>
                <w:rFonts w:ascii="Arial" w:eastAsia="Times New Roman" w:hAnsi="Arial" w:cs="Arial"/>
                <w:b/>
                <w:bCs/>
                <w:color w:val="000000"/>
                <w:kern w:val="0"/>
                <w:sz w:val="22"/>
                <w:szCs w:val="22"/>
                <w:lang w:eastAsia="el-GR"/>
                <w14:ligatures w14:val="none"/>
              </w:rPr>
              <w:t xml:space="preserve"> </w:t>
            </w:r>
          </w:p>
        </w:tc>
      </w:tr>
      <w:tr w:rsidR="00C34C32" w:rsidRPr="000D22FF" w14:paraId="589E186C" w14:textId="77777777" w:rsidTr="00C34C32">
        <w:trPr>
          <w:cantSplit/>
          <w:trHeight w:val="1129"/>
          <w:jc w:val="center"/>
        </w:trPr>
        <w:tc>
          <w:tcPr>
            <w:tcW w:w="2127" w:type="dxa"/>
            <w:tcBorders>
              <w:top w:val="nil"/>
              <w:left w:val="single" w:sz="4" w:space="0" w:color="auto"/>
              <w:bottom w:val="single" w:sz="4" w:space="0" w:color="auto"/>
              <w:right w:val="single" w:sz="4" w:space="0" w:color="auto"/>
            </w:tcBorders>
            <w:hideMark/>
          </w:tcPr>
          <w:p w14:paraId="749270B1" w14:textId="2F06EEA9"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Διορισμός περισσότερων του ενός ειδικούς διαχειριστές.</w:t>
            </w:r>
          </w:p>
        </w:tc>
        <w:tc>
          <w:tcPr>
            <w:tcW w:w="1276" w:type="dxa"/>
            <w:tcBorders>
              <w:top w:val="nil"/>
              <w:left w:val="nil"/>
              <w:bottom w:val="single" w:sz="4" w:space="0" w:color="auto"/>
              <w:right w:val="single" w:sz="4" w:space="0" w:color="auto"/>
            </w:tcBorders>
            <w:noWrap/>
            <w:hideMark/>
          </w:tcPr>
          <w:p w14:paraId="30FA274B" w14:textId="0CA36FC2"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44(1) </w:t>
            </w:r>
          </w:p>
        </w:tc>
        <w:tc>
          <w:tcPr>
            <w:tcW w:w="7654" w:type="dxa"/>
            <w:tcBorders>
              <w:top w:val="nil"/>
              <w:left w:val="nil"/>
              <w:bottom w:val="single" w:sz="4" w:space="0" w:color="auto"/>
              <w:right w:val="single" w:sz="4" w:space="0" w:color="auto"/>
            </w:tcBorders>
            <w:hideMark/>
          </w:tcPr>
          <w:p w14:paraId="6AEB409C" w14:textId="77777777" w:rsidR="00C34C32" w:rsidRPr="000D22FF" w:rsidRDefault="00C34C32" w:rsidP="00F473FA">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προβλέπουν ότι μια αρχή εξυγίανσης μπορεί να διορίζει περισσότερους του ενός ειδικούς διαχειριστές.</w:t>
            </w:r>
          </w:p>
          <w:p w14:paraId="07C23ECB" w14:textId="316E2E19"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D9F2D0" w:themeFill="accent6" w:themeFillTint="33"/>
            <w:hideMark/>
          </w:tcPr>
          <w:p w14:paraId="2F9DED1C" w14:textId="030F40B9" w:rsidR="00C34C32" w:rsidRPr="008978FD"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w:t>
            </w:r>
            <w:r w:rsidRPr="000D22FF">
              <w:rPr>
                <w:rFonts w:ascii="Arial" w:eastAsia="Times New Roman" w:hAnsi="Arial" w:cs="Arial"/>
                <w:b/>
                <w:bCs/>
                <w:color w:val="000000"/>
                <w:kern w:val="0"/>
                <w:sz w:val="22"/>
                <w:szCs w:val="22"/>
                <w:lang w:eastAsia="el-GR"/>
                <w14:ligatures w14:val="none"/>
              </w:rPr>
              <w:t xml:space="preserve"> η ευχέρεια</w:t>
            </w:r>
            <w:r>
              <w:rPr>
                <w:rFonts w:ascii="Arial" w:eastAsia="Times New Roman" w:hAnsi="Arial" w:cs="Arial"/>
                <w:b/>
                <w:bCs/>
                <w:color w:val="000000"/>
                <w:kern w:val="0"/>
                <w:sz w:val="22"/>
                <w:szCs w:val="22"/>
                <w:lang w:eastAsia="el-GR"/>
                <w14:ligatures w14:val="none"/>
              </w:rPr>
              <w:t>.</w:t>
            </w:r>
          </w:p>
        </w:tc>
      </w:tr>
      <w:tr w:rsidR="00C34C32" w:rsidRPr="000D22FF" w14:paraId="268BA8A6" w14:textId="77777777" w:rsidTr="00C34C32">
        <w:trPr>
          <w:cantSplit/>
          <w:trHeight w:val="1082"/>
          <w:jc w:val="center"/>
        </w:trPr>
        <w:tc>
          <w:tcPr>
            <w:tcW w:w="2127" w:type="dxa"/>
            <w:tcBorders>
              <w:top w:val="nil"/>
              <w:left w:val="single" w:sz="4" w:space="0" w:color="auto"/>
              <w:bottom w:val="single" w:sz="4" w:space="0" w:color="auto"/>
              <w:right w:val="single" w:sz="4" w:space="0" w:color="auto"/>
            </w:tcBorders>
            <w:hideMark/>
          </w:tcPr>
          <w:p w14:paraId="441BCB7D" w14:textId="327D518A"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Υποχρεώσεις μητρικής επιχείρησης όσον αφορά χρηματοπιστωτικές συμβάσεις των θυγατρικών του ομίλου.</w:t>
            </w:r>
          </w:p>
        </w:tc>
        <w:tc>
          <w:tcPr>
            <w:tcW w:w="1276" w:type="dxa"/>
            <w:tcBorders>
              <w:top w:val="nil"/>
              <w:left w:val="nil"/>
              <w:bottom w:val="single" w:sz="4" w:space="0" w:color="auto"/>
              <w:right w:val="single" w:sz="4" w:space="0" w:color="auto"/>
            </w:tcBorders>
            <w:noWrap/>
            <w:hideMark/>
          </w:tcPr>
          <w:p w14:paraId="795A5598" w14:textId="3C31A111"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52(2) </w:t>
            </w:r>
          </w:p>
        </w:tc>
        <w:tc>
          <w:tcPr>
            <w:tcW w:w="7654" w:type="dxa"/>
            <w:tcBorders>
              <w:top w:val="nil"/>
              <w:left w:val="nil"/>
              <w:bottom w:val="single" w:sz="4" w:space="0" w:color="auto"/>
              <w:right w:val="single" w:sz="4" w:space="0" w:color="auto"/>
            </w:tcBorders>
            <w:hideMark/>
          </w:tcPr>
          <w:p w14:paraId="06672C46" w14:textId="77777777" w:rsidR="00C34C32" w:rsidRPr="000D22FF" w:rsidRDefault="00C34C32" w:rsidP="00C81BC7">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επίσης να απαιτούν από τις τελικές μητρικές επιχειρήσεις να διασφαλίζουν ότι οι οικείες θυγατρικές επιχειρήσεις τρίτης χώρας, οι οποίες είναι οντότητες που αναφέρονται στο άρθρο 1 παράγραφος 1 στοιχεία α) έως ε), περιλαμβάνουν, στις χρηματοπιστωτικές συμβάσεις που αναφέρονται στην παράγραφο 1, όρους ώστε να αποκλειστεί το ενδεχόμενο η άσκηση της εξουσίας της αρχής εξυγίανσης να αναστέλλει ή να περιορίζει τα δικαιώματα και τις υποχρεώσεις της τελικής μητρικής επιχείρησης, σύμφωνα με την παράγραφο 1, να αποτελεί έγκυρο λόγο για την άσκηση δικαιώματος πρόωρης καταγγελίας, αναστολής, τροποποίησης, συμψηφισμού ή </w:t>
            </w:r>
            <w:proofErr w:type="spellStart"/>
            <w:r w:rsidRPr="000D22FF">
              <w:rPr>
                <w:rFonts w:ascii="Arial" w:eastAsia="Times New Roman" w:hAnsi="Arial" w:cs="Arial"/>
                <w:color w:val="000000"/>
                <w:kern w:val="0"/>
                <w:sz w:val="22"/>
                <w:szCs w:val="22"/>
                <w:lang w:eastAsia="el-GR"/>
                <w14:ligatures w14:val="none"/>
              </w:rPr>
              <w:t>αλληλοσυμψηφισμού</w:t>
            </w:r>
            <w:proofErr w:type="spellEnd"/>
            <w:r w:rsidRPr="000D22FF">
              <w:rPr>
                <w:rFonts w:ascii="Arial" w:eastAsia="Times New Roman" w:hAnsi="Arial" w:cs="Arial"/>
                <w:color w:val="000000"/>
                <w:kern w:val="0"/>
                <w:sz w:val="22"/>
                <w:szCs w:val="22"/>
                <w:lang w:eastAsia="el-GR"/>
                <w14:ligatures w14:val="none"/>
              </w:rPr>
              <w:t>, ή για την αναγκαστική εκτέλεση συμφωνιών παροχής ασφάλειας για τις εν λόγω συμβάσεις.</w:t>
            </w:r>
          </w:p>
          <w:p w14:paraId="1992AA99" w14:textId="78F91352"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F6C5AC" w:themeFill="accent2" w:themeFillTint="66"/>
            <w:hideMark/>
          </w:tcPr>
          <w:p w14:paraId="2A47FB97" w14:textId="5FC48204"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w:t>
            </w:r>
            <w:r>
              <w:rPr>
                <w:rFonts w:ascii="Arial" w:eastAsia="Times New Roman" w:hAnsi="Arial" w:cs="Arial"/>
                <w:b/>
                <w:bCs/>
                <w:color w:val="000000"/>
                <w:kern w:val="0"/>
                <w:sz w:val="22"/>
                <w:szCs w:val="22"/>
                <w:lang w:eastAsia="el-GR"/>
                <w14:ligatures w14:val="none"/>
              </w:rPr>
              <w:t>.</w:t>
            </w:r>
            <w:r w:rsidRPr="000D22FF">
              <w:rPr>
                <w:rFonts w:ascii="Arial" w:eastAsia="Times New Roman" w:hAnsi="Arial" w:cs="Arial"/>
                <w:b/>
                <w:bCs/>
                <w:color w:val="000000"/>
                <w:kern w:val="0"/>
                <w:sz w:val="22"/>
                <w:szCs w:val="22"/>
                <w:lang w:eastAsia="el-GR"/>
                <w14:ligatures w14:val="none"/>
              </w:rPr>
              <w:t xml:space="preserve"> </w:t>
            </w:r>
          </w:p>
        </w:tc>
      </w:tr>
      <w:tr w:rsidR="00C34C32" w:rsidRPr="000D22FF" w14:paraId="5CE79215" w14:textId="77777777" w:rsidTr="00C34C32">
        <w:trPr>
          <w:cantSplit/>
          <w:trHeight w:val="1507"/>
          <w:jc w:val="center"/>
        </w:trPr>
        <w:tc>
          <w:tcPr>
            <w:tcW w:w="2127" w:type="dxa"/>
            <w:tcBorders>
              <w:top w:val="nil"/>
              <w:left w:val="single" w:sz="4" w:space="0" w:color="auto"/>
              <w:bottom w:val="single" w:sz="4" w:space="0" w:color="auto"/>
              <w:right w:val="single" w:sz="4" w:space="0" w:color="auto"/>
            </w:tcBorders>
            <w:hideMark/>
          </w:tcPr>
          <w:p w14:paraId="56D1A525" w14:textId="4AE5434B"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Ανταλλαγή πληροφοριών με συγκεκριμένες αρχές/σώματα.</w:t>
            </w:r>
          </w:p>
        </w:tc>
        <w:tc>
          <w:tcPr>
            <w:tcW w:w="1276" w:type="dxa"/>
            <w:tcBorders>
              <w:top w:val="nil"/>
              <w:left w:val="nil"/>
              <w:bottom w:val="single" w:sz="4" w:space="0" w:color="auto"/>
              <w:right w:val="single" w:sz="4" w:space="0" w:color="auto"/>
            </w:tcBorders>
            <w:noWrap/>
            <w:hideMark/>
          </w:tcPr>
          <w:p w14:paraId="43B9692A" w14:textId="17FE3D10"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66(5) </w:t>
            </w:r>
          </w:p>
        </w:tc>
        <w:tc>
          <w:tcPr>
            <w:tcW w:w="7654" w:type="dxa"/>
            <w:tcBorders>
              <w:top w:val="nil"/>
              <w:left w:val="nil"/>
              <w:bottom w:val="single" w:sz="4" w:space="0" w:color="auto"/>
              <w:right w:val="single" w:sz="4" w:space="0" w:color="auto"/>
            </w:tcBorders>
            <w:hideMark/>
          </w:tcPr>
          <w:p w14:paraId="469FE0D6" w14:textId="77777777" w:rsidR="00C34C32" w:rsidRPr="000D22FF" w:rsidRDefault="00C34C32" w:rsidP="00E318DA">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επιτρέπουν την ανταλλαγή πληροφοριών με οποιοδήποτε από τα ακόλουθα: </w:t>
            </w:r>
          </w:p>
          <w:p w14:paraId="785A7C98" w14:textId="06CECD1F" w:rsidR="00C34C32" w:rsidRPr="000D22FF" w:rsidRDefault="00C34C32" w:rsidP="00E318DA">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α) υπό την προϋπόθεση αυστηρών απαιτήσεων εμπιστευτικότητας, οποιοδήποτε άλλο πρόσωπο, κατά περίπτωση, με σκοπό τον σχεδιασμό ή την εκτέλεση δράσης εξυγίανσης·</w:t>
            </w:r>
          </w:p>
          <w:p w14:paraId="40981C33" w14:textId="77777777" w:rsidR="00C34C32" w:rsidRPr="000D22FF" w:rsidRDefault="00C34C32" w:rsidP="00E318DA">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β) κοινοβουλευτικές εξεταστικές επιτροπές στο κράτος μέλος τους, ελεγκτικά συνέδρια στο κράτος μέλος τους και άλλες παρόμοιες οντότητες στο κράτος μέλος τους, υπό τις κατάλληλες προϋποθέσεις· </w:t>
            </w:r>
          </w:p>
          <w:p w14:paraId="426AC3C3" w14:textId="7E814745" w:rsidR="00C34C32" w:rsidRPr="000D22FF" w:rsidRDefault="00C34C32" w:rsidP="00E318DA">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γ) εθνικές αρχές που είναι υπεύθυνες για τα συστήματα πληρωμών, οι αρχές που είναι αρμόδιες για τις κανονικές διαδικασίες αφερεγγυότητας, οι αρχές στις οποίες έχει ανατεθεί το δημόσιο καθήκον εποπτείας άλλων οντοτήτων του χρηματοπιστωτικού τομέα, οι αρχές που έχουν την ευθύνη της εποπτείας των χρηματοοικονομικών αγορών, των πιστωτικών ιδρυμάτων και των επιχειρήσεων επενδύσεων και επιθεωρητές που είναι εντεταλμένοι από αυτές, οι αρχές των κρατών μελών αρμόδιες για τη διατήρηση της σταθερότητας του χρηματοπιστωτικού συστήματος στα κράτη μέλη μέσω κανόνων </w:t>
            </w:r>
            <w:proofErr w:type="spellStart"/>
            <w:r w:rsidRPr="000D22FF">
              <w:rPr>
                <w:rFonts w:ascii="Arial" w:eastAsia="Times New Roman" w:hAnsi="Arial" w:cs="Arial"/>
                <w:color w:val="000000"/>
                <w:kern w:val="0"/>
                <w:sz w:val="22"/>
                <w:szCs w:val="22"/>
                <w:lang w:eastAsia="el-GR"/>
                <w14:ligatures w14:val="none"/>
              </w:rPr>
              <w:t>μακροπροληπτικού</w:t>
            </w:r>
            <w:proofErr w:type="spellEnd"/>
            <w:r w:rsidRPr="000D22FF">
              <w:rPr>
                <w:rFonts w:ascii="Arial" w:eastAsia="Times New Roman" w:hAnsi="Arial" w:cs="Arial"/>
                <w:color w:val="000000"/>
                <w:kern w:val="0"/>
                <w:sz w:val="22"/>
                <w:szCs w:val="22"/>
                <w:lang w:eastAsia="el-GR"/>
                <w14:ligatures w14:val="none"/>
              </w:rPr>
              <w:t xml:space="preserve"> χαρακτήρα, οι αρχές που είναι υπεύθυνες για την προστασία της σταθερότητας του χρηματοπιστωτικού συστήματος, και πρόσωπα τα οποία είναι επιφορτισμένα με τη διεξαγωγή </w:t>
            </w:r>
            <w:proofErr w:type="spellStart"/>
            <w:r w:rsidRPr="000D22FF">
              <w:rPr>
                <w:rFonts w:ascii="Arial" w:eastAsia="Times New Roman" w:hAnsi="Arial" w:cs="Arial"/>
                <w:color w:val="000000"/>
                <w:kern w:val="0"/>
                <w:sz w:val="22"/>
                <w:szCs w:val="22"/>
                <w:lang w:eastAsia="el-GR"/>
                <w14:ligatures w14:val="none"/>
              </w:rPr>
              <w:t>νομίμων</w:t>
            </w:r>
            <w:proofErr w:type="spellEnd"/>
            <w:r w:rsidRPr="000D22FF">
              <w:rPr>
                <w:rFonts w:ascii="Arial" w:eastAsia="Times New Roman" w:hAnsi="Arial" w:cs="Arial"/>
                <w:color w:val="000000"/>
                <w:kern w:val="0"/>
                <w:sz w:val="22"/>
                <w:szCs w:val="22"/>
                <w:lang w:eastAsia="el-GR"/>
                <w14:ligatures w14:val="none"/>
              </w:rPr>
              <w:t xml:space="preserve"> ελέγχων των λογαριασμών.</w:t>
            </w:r>
          </w:p>
          <w:p w14:paraId="0ACD4AEB" w14:textId="14E4E317"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p w14:paraId="3B04393D" w14:textId="77777777"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D9F2D0" w:themeFill="accent6" w:themeFillTint="33"/>
            <w:hideMark/>
          </w:tcPr>
          <w:p w14:paraId="2FAEB878" w14:textId="4FF0899F" w:rsidR="00C34C32" w:rsidRPr="000D22FF" w:rsidRDefault="00C34C32" w:rsidP="00C34C32">
            <w:pPr>
              <w:spacing w:after="0" w:line="240" w:lineRule="auto"/>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Ασκήθηκε</w:t>
            </w:r>
            <w:r w:rsidRPr="000D22FF">
              <w:rPr>
                <w:rFonts w:ascii="Arial" w:eastAsia="Times New Roman" w:hAnsi="Arial" w:cs="Arial"/>
                <w:b/>
                <w:bCs/>
                <w:color w:val="000000"/>
                <w:kern w:val="0"/>
                <w:sz w:val="22"/>
                <w:szCs w:val="22"/>
                <w:lang w:eastAsia="el-GR"/>
                <w14:ligatures w14:val="none"/>
              </w:rPr>
              <w:t xml:space="preserve"> η ευχέρεια.</w:t>
            </w:r>
            <w:r>
              <w:rPr>
                <w:rFonts w:ascii="Arial" w:eastAsia="Times New Roman" w:hAnsi="Arial" w:cs="Arial"/>
                <w:b/>
                <w:bCs/>
                <w:color w:val="000000"/>
                <w:kern w:val="0"/>
                <w:sz w:val="22"/>
                <w:szCs w:val="22"/>
                <w:lang w:eastAsia="el-GR"/>
                <w14:ligatures w14:val="none"/>
              </w:rPr>
              <w:t xml:space="preserve"> </w:t>
            </w:r>
          </w:p>
        </w:tc>
      </w:tr>
      <w:tr w:rsidR="00C34C32" w:rsidRPr="000D22FF" w14:paraId="709D1B93" w14:textId="77777777" w:rsidTr="00C34C32">
        <w:trPr>
          <w:cantSplit/>
          <w:trHeight w:val="2074"/>
          <w:jc w:val="center"/>
        </w:trPr>
        <w:tc>
          <w:tcPr>
            <w:tcW w:w="2127" w:type="dxa"/>
            <w:tcBorders>
              <w:top w:val="nil"/>
              <w:left w:val="single" w:sz="4" w:space="0" w:color="auto"/>
              <w:bottom w:val="single" w:sz="4" w:space="0" w:color="auto"/>
              <w:right w:val="single" w:sz="4" w:space="0" w:color="auto"/>
            </w:tcBorders>
            <w:hideMark/>
          </w:tcPr>
          <w:p w14:paraId="3ADC1C33" w14:textId="4B3E3199" w:rsidR="00C34C32" w:rsidRPr="00F97D2F" w:rsidRDefault="00C34C32" w:rsidP="000D22FF">
            <w:pPr>
              <w:spacing w:after="0" w:line="240" w:lineRule="auto"/>
              <w:rPr>
                <w:rFonts w:ascii="Arial" w:eastAsia="Times New Roman" w:hAnsi="Arial" w:cs="Arial"/>
                <w:color w:val="000000"/>
                <w:kern w:val="0"/>
                <w:sz w:val="22"/>
                <w:szCs w:val="22"/>
                <w:lang w:eastAsia="el-GR"/>
                <w14:ligatures w14:val="none"/>
              </w:rPr>
            </w:pPr>
            <w:bookmarkStart w:id="0" w:name="_Hlk206074655"/>
            <w:r w:rsidRPr="00F97D2F">
              <w:rPr>
                <w:rFonts w:ascii="Arial" w:eastAsia="Times New Roman" w:hAnsi="Arial" w:cs="Arial"/>
                <w:color w:val="000000"/>
                <w:kern w:val="0"/>
                <w:sz w:val="22"/>
                <w:szCs w:val="22"/>
                <w:lang w:eastAsia="el-GR"/>
                <w14:ligatures w14:val="none"/>
              </w:rPr>
              <w:t xml:space="preserve">Εκ των προτέρων δικαστική έγκριση απόφασης λήψης μέτρου πρόληψης κρίσεων ή μέτρου διαχείρισης κρίσεων. </w:t>
            </w:r>
            <w:bookmarkEnd w:id="0"/>
          </w:p>
        </w:tc>
        <w:tc>
          <w:tcPr>
            <w:tcW w:w="1276" w:type="dxa"/>
            <w:tcBorders>
              <w:top w:val="nil"/>
              <w:left w:val="nil"/>
              <w:bottom w:val="single" w:sz="4" w:space="0" w:color="auto"/>
              <w:right w:val="single" w:sz="4" w:space="0" w:color="auto"/>
            </w:tcBorders>
            <w:noWrap/>
            <w:hideMark/>
          </w:tcPr>
          <w:p w14:paraId="2932B1F0" w14:textId="41EF46A1" w:rsidR="00C34C32" w:rsidRPr="00F97D2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F97D2F">
              <w:rPr>
                <w:rFonts w:ascii="Arial" w:eastAsia="Times New Roman" w:hAnsi="Arial" w:cs="Arial"/>
                <w:b/>
                <w:bCs/>
                <w:color w:val="000000"/>
                <w:kern w:val="0"/>
                <w:sz w:val="22"/>
                <w:szCs w:val="22"/>
                <w:lang w:eastAsia="el-GR"/>
                <w14:ligatures w14:val="none"/>
              </w:rPr>
              <w:t xml:space="preserve">67(1) </w:t>
            </w:r>
          </w:p>
        </w:tc>
        <w:tc>
          <w:tcPr>
            <w:tcW w:w="7654" w:type="dxa"/>
            <w:tcBorders>
              <w:top w:val="nil"/>
              <w:left w:val="nil"/>
              <w:bottom w:val="single" w:sz="4" w:space="0" w:color="auto"/>
              <w:right w:val="single" w:sz="4" w:space="0" w:color="auto"/>
            </w:tcBorders>
            <w:hideMark/>
          </w:tcPr>
          <w:p w14:paraId="791690FD" w14:textId="77777777" w:rsidR="00C34C32" w:rsidRPr="000D22FF" w:rsidRDefault="00C34C32" w:rsidP="00D244EC">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δύνανται</w:t>
            </w:r>
            <w:r w:rsidRPr="000D22FF">
              <w:rPr>
                <w:rFonts w:ascii="Arial" w:eastAsia="Times New Roman" w:hAnsi="Arial" w:cs="Arial"/>
                <w:color w:val="000000"/>
                <w:kern w:val="0"/>
                <w:sz w:val="22"/>
                <w:szCs w:val="22"/>
                <w:lang w:eastAsia="el-GR"/>
                <w14:ligatures w14:val="none"/>
              </w:rPr>
              <w:t xml:space="preserve"> να απαιτούν ότι η απόφαση για τη λήψη μέτρου πρόληψης κρίσεων ή μέτρου διαχείρισης κρίσεων υπόκειται σε εκ των προτέρων δικαστική έγκριση, υπό τον όρο ότι όσον αφορά απόφαση για τη λήψη μέτρου διαχείρισης κρίσεων, σύμφωνα με την εθνική νομοθεσία, η διαδικασία που αφορά την αίτηση για έγκριση και την εξέταση της αίτησης από το δικαστήριο έχει επείγοντα χαρακτήρα.</w:t>
            </w:r>
          </w:p>
          <w:p w14:paraId="18E0FCC3" w14:textId="0A5BA6B1"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F6C5AC" w:themeFill="accent2" w:themeFillTint="66"/>
            <w:hideMark/>
          </w:tcPr>
          <w:p w14:paraId="539095BA" w14:textId="604347D3" w:rsidR="00C34C32"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w:t>
            </w:r>
          </w:p>
          <w:p w14:paraId="0CAF7F9E" w14:textId="77777777" w:rsidR="00C34C32"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p w14:paraId="0D722FB6" w14:textId="10275E52"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p>
        </w:tc>
      </w:tr>
      <w:tr w:rsidR="00C34C32" w:rsidRPr="000D22FF" w14:paraId="66C0BC4E" w14:textId="77777777" w:rsidTr="00C34C32">
        <w:trPr>
          <w:cantSplit/>
          <w:trHeight w:val="978"/>
          <w:jc w:val="center"/>
        </w:trPr>
        <w:tc>
          <w:tcPr>
            <w:tcW w:w="2127" w:type="dxa"/>
            <w:tcBorders>
              <w:top w:val="nil"/>
              <w:left w:val="single" w:sz="4" w:space="0" w:color="auto"/>
              <w:bottom w:val="single" w:sz="4" w:space="0" w:color="auto"/>
              <w:right w:val="single" w:sz="4" w:space="0" w:color="auto"/>
            </w:tcBorders>
            <w:hideMark/>
          </w:tcPr>
          <w:p w14:paraId="5637DB06" w14:textId="3D7A1DEB"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 xml:space="preserve">Συμφωνίες με τρίτες χώρες. </w:t>
            </w:r>
          </w:p>
        </w:tc>
        <w:tc>
          <w:tcPr>
            <w:tcW w:w="1276" w:type="dxa"/>
            <w:tcBorders>
              <w:top w:val="nil"/>
              <w:left w:val="nil"/>
              <w:bottom w:val="single" w:sz="4" w:space="0" w:color="auto"/>
              <w:right w:val="single" w:sz="4" w:space="0" w:color="auto"/>
            </w:tcBorders>
            <w:noWrap/>
            <w:hideMark/>
          </w:tcPr>
          <w:p w14:paraId="37DA6280" w14:textId="137568DB"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75(3) </w:t>
            </w:r>
          </w:p>
        </w:tc>
        <w:tc>
          <w:tcPr>
            <w:tcW w:w="7654" w:type="dxa"/>
            <w:tcBorders>
              <w:top w:val="nil"/>
              <w:left w:val="nil"/>
              <w:bottom w:val="single" w:sz="4" w:space="0" w:color="auto"/>
              <w:right w:val="single" w:sz="4" w:space="0" w:color="auto"/>
            </w:tcBorders>
            <w:hideMark/>
          </w:tcPr>
          <w:p w14:paraId="1E512475" w14:textId="77777777" w:rsidR="00C34C32" w:rsidRPr="000D22FF" w:rsidRDefault="00C34C32" w:rsidP="00D244EC">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συνάπτουν διμερείς συμφωνίες με τρίτη χώρα, στον βαθμό που οι εν λόγω διμερείς συμφωνίες δεν αντιβαίνουν στον παρόντα τίτλο, όσον αφορά τα θέματα που αναφέρονται στις παραγράφους 1 και 2 έως την έναρξη ισχύος της συμφωνίας που αναφέρεται στην παράγραφο 1 με τη σχετική τρίτη χώρα.</w:t>
            </w:r>
          </w:p>
          <w:p w14:paraId="5001A2DD" w14:textId="77777777" w:rsidR="00C34C32" w:rsidRPr="000D22FF" w:rsidRDefault="00C34C32" w:rsidP="00134504">
            <w:pPr>
              <w:spacing w:after="0" w:line="240" w:lineRule="auto"/>
              <w:jc w:val="both"/>
              <w:rPr>
                <w:rFonts w:ascii="Arial" w:eastAsia="Times New Roman" w:hAnsi="Arial" w:cs="Arial"/>
                <w:color w:val="000000"/>
                <w:kern w:val="0"/>
                <w:sz w:val="22"/>
                <w:szCs w:val="22"/>
                <w:lang w:eastAsia="el-GR"/>
                <w14:ligatures w14:val="none"/>
              </w:rPr>
            </w:pPr>
          </w:p>
        </w:tc>
        <w:tc>
          <w:tcPr>
            <w:tcW w:w="4111" w:type="dxa"/>
            <w:tcBorders>
              <w:top w:val="nil"/>
              <w:left w:val="nil"/>
              <w:bottom w:val="single" w:sz="4" w:space="0" w:color="auto"/>
              <w:right w:val="single" w:sz="4" w:space="0" w:color="auto"/>
            </w:tcBorders>
            <w:shd w:val="clear" w:color="auto" w:fill="F6C5AC" w:themeFill="accent2" w:themeFillTint="66"/>
            <w:hideMark/>
          </w:tcPr>
          <w:p w14:paraId="25D490B8" w14:textId="3F2801A4"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w:t>
            </w:r>
          </w:p>
        </w:tc>
      </w:tr>
      <w:tr w:rsidR="00C34C32" w:rsidRPr="000D22FF" w14:paraId="52F91EE1" w14:textId="77777777" w:rsidTr="00C34C32">
        <w:trPr>
          <w:cantSplit/>
          <w:trHeight w:val="1631"/>
          <w:jc w:val="center"/>
        </w:trPr>
        <w:tc>
          <w:tcPr>
            <w:tcW w:w="2127" w:type="dxa"/>
            <w:vMerge w:val="restart"/>
            <w:tcBorders>
              <w:top w:val="nil"/>
              <w:left w:val="single" w:sz="4" w:space="0" w:color="auto"/>
              <w:right w:val="single" w:sz="4" w:space="0" w:color="auto"/>
            </w:tcBorders>
          </w:tcPr>
          <w:p w14:paraId="6C1F3040" w14:textId="2698D8B3"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r w:rsidRPr="000D22FF">
              <w:rPr>
                <w:rFonts w:ascii="Arial" w:eastAsia="Times New Roman" w:hAnsi="Arial" w:cs="Arial"/>
                <w:color w:val="000000"/>
                <w:kern w:val="0"/>
                <w:sz w:val="22"/>
                <w:szCs w:val="22"/>
                <w:lang w:eastAsia="el-GR"/>
                <w14:ligatures w14:val="none"/>
              </w:rPr>
              <w:t>Χρήση και δομή για τις ρυθμίσεις χρηματοδότησης.</w:t>
            </w:r>
          </w:p>
        </w:tc>
        <w:tc>
          <w:tcPr>
            <w:tcW w:w="1276" w:type="dxa"/>
            <w:tcBorders>
              <w:top w:val="nil"/>
              <w:left w:val="nil"/>
              <w:bottom w:val="single" w:sz="4" w:space="0" w:color="auto"/>
              <w:right w:val="single" w:sz="4" w:space="0" w:color="auto"/>
            </w:tcBorders>
          </w:tcPr>
          <w:p w14:paraId="038AF878" w14:textId="4D3E0EBB"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81(1) </w:t>
            </w:r>
            <w:r w:rsidRPr="000D22FF">
              <w:rPr>
                <w:rFonts w:ascii="Arial" w:eastAsia="Times New Roman" w:hAnsi="Arial" w:cs="Arial"/>
                <w:b/>
                <w:bCs/>
                <w:color w:val="000000"/>
                <w:kern w:val="0"/>
                <w:sz w:val="22"/>
                <w:szCs w:val="22"/>
                <w:lang w:eastAsia="el-GR"/>
                <w14:ligatures w14:val="none"/>
              </w:rPr>
              <w:br/>
              <w:t>2</w:t>
            </w:r>
            <w:r w:rsidRPr="000D22FF">
              <w:rPr>
                <w:rFonts w:ascii="Arial" w:eastAsia="Times New Roman" w:hAnsi="Arial" w:cs="Arial"/>
                <w:b/>
                <w:bCs/>
                <w:color w:val="000000"/>
                <w:kern w:val="0"/>
                <w:sz w:val="22"/>
                <w:szCs w:val="22"/>
                <w:vertAlign w:val="superscript"/>
                <w:lang w:eastAsia="el-GR"/>
                <w14:ligatures w14:val="none"/>
              </w:rPr>
              <w:t>n</w:t>
            </w:r>
            <w:r w:rsidRPr="000D22FF">
              <w:rPr>
                <w:rFonts w:ascii="Arial" w:eastAsia="Times New Roman" w:hAnsi="Arial" w:cs="Arial"/>
                <w:b/>
                <w:bCs/>
                <w:color w:val="000000"/>
                <w:kern w:val="0"/>
                <w:sz w:val="22"/>
                <w:szCs w:val="22"/>
                <w:vertAlign w:val="superscript"/>
                <w:lang w:val="en-GB" w:eastAsia="el-GR"/>
                <w14:ligatures w14:val="none"/>
              </w:rPr>
              <w:t>d</w:t>
            </w:r>
            <w:r w:rsidRPr="000D22FF">
              <w:rPr>
                <w:rFonts w:ascii="Arial" w:eastAsia="Times New Roman" w:hAnsi="Arial" w:cs="Arial"/>
                <w:b/>
                <w:bCs/>
                <w:color w:val="000000"/>
                <w:kern w:val="0"/>
                <w:sz w:val="22"/>
                <w:szCs w:val="22"/>
                <w:lang w:val="en-GB" w:eastAsia="el-GR"/>
                <w14:ligatures w14:val="none"/>
              </w:rPr>
              <w:t xml:space="preserve"> </w:t>
            </w:r>
            <w:proofErr w:type="spellStart"/>
            <w:r w:rsidRPr="000D22FF">
              <w:rPr>
                <w:rFonts w:ascii="Arial" w:eastAsia="Times New Roman" w:hAnsi="Arial" w:cs="Arial"/>
                <w:b/>
                <w:bCs/>
                <w:color w:val="000000"/>
                <w:kern w:val="0"/>
                <w:sz w:val="22"/>
                <w:szCs w:val="22"/>
                <w:lang w:eastAsia="el-GR"/>
                <w14:ligatures w14:val="none"/>
              </w:rPr>
              <w:t>subp</w:t>
            </w:r>
            <w:proofErr w:type="spellEnd"/>
            <w:r w:rsidRPr="000D22FF">
              <w:rPr>
                <w:rFonts w:ascii="Arial" w:eastAsia="Times New Roman" w:hAnsi="Arial" w:cs="Arial"/>
                <w:b/>
                <w:bCs/>
                <w:color w:val="000000"/>
                <w:kern w:val="0"/>
                <w:sz w:val="22"/>
                <w:szCs w:val="22"/>
                <w:lang w:eastAsia="el-GR"/>
                <w14:ligatures w14:val="none"/>
              </w:rPr>
              <w:t>.</w:t>
            </w:r>
          </w:p>
        </w:tc>
        <w:tc>
          <w:tcPr>
            <w:tcW w:w="7654" w:type="dxa"/>
            <w:tcBorders>
              <w:top w:val="nil"/>
              <w:left w:val="nil"/>
              <w:bottom w:val="single" w:sz="4" w:space="0" w:color="auto"/>
              <w:right w:val="single" w:sz="4" w:space="0" w:color="auto"/>
            </w:tcBorders>
          </w:tcPr>
          <w:p w14:paraId="056AD8C2" w14:textId="577D0425" w:rsidR="00C34C32" w:rsidRPr="000D22FF" w:rsidRDefault="00C34C32" w:rsidP="00134504">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προβλέπουν τη δυνατότητα χρήσης των ρυθμίσεων χρηματοδότησης που αναφέρονται στο πρώτο εδάφιο και για να καλύπτουν άλλες δαπάνες που συνδέονται με τη χρήση εργαλείων εξυγίανσης, στον βαθμό που η χρήση ρυθμίσεων χρηματοδότησης είναι απαραίτητη για την επίτευξη των στόχων εξυγίανσης.</w:t>
            </w:r>
          </w:p>
        </w:tc>
        <w:tc>
          <w:tcPr>
            <w:tcW w:w="4111" w:type="dxa"/>
            <w:tcBorders>
              <w:top w:val="nil"/>
              <w:left w:val="nil"/>
              <w:bottom w:val="single" w:sz="4" w:space="0" w:color="auto"/>
              <w:right w:val="single" w:sz="4" w:space="0" w:color="auto"/>
            </w:tcBorders>
            <w:shd w:val="clear" w:color="auto" w:fill="D9F2D0" w:themeFill="accent6" w:themeFillTint="33"/>
          </w:tcPr>
          <w:p w14:paraId="74FAC233" w14:textId="7819FBA4" w:rsidR="00C34C32" w:rsidRPr="00F97D2F" w:rsidRDefault="00C34C32" w:rsidP="00134504">
            <w:pPr>
              <w:spacing w:after="0" w:line="240" w:lineRule="auto"/>
              <w:jc w:val="both"/>
              <w:rPr>
                <w:rFonts w:ascii="Arial" w:hAnsi="Arial" w:cs="Arial"/>
                <w:b/>
                <w:bCs/>
                <w:sz w:val="22"/>
                <w:szCs w:val="22"/>
              </w:rPr>
            </w:pPr>
            <w:r>
              <w:rPr>
                <w:rFonts w:ascii="Arial" w:eastAsia="Times New Roman" w:hAnsi="Arial" w:cs="Arial"/>
                <w:b/>
                <w:bCs/>
                <w:color w:val="000000"/>
                <w:kern w:val="0"/>
                <w:sz w:val="22"/>
                <w:szCs w:val="22"/>
                <w:lang w:eastAsia="el-GR"/>
                <w14:ligatures w14:val="none"/>
              </w:rPr>
              <w:t>Ασκήθηκε</w:t>
            </w:r>
            <w:r w:rsidRPr="000D22FF">
              <w:rPr>
                <w:rFonts w:ascii="Arial" w:eastAsia="Times New Roman" w:hAnsi="Arial" w:cs="Arial"/>
                <w:b/>
                <w:bCs/>
                <w:color w:val="000000"/>
                <w:kern w:val="0"/>
                <w:sz w:val="22"/>
                <w:szCs w:val="22"/>
                <w:lang w:eastAsia="el-GR"/>
                <w14:ligatures w14:val="none"/>
              </w:rPr>
              <w:t xml:space="preserve"> η ευχέρ</w:t>
            </w:r>
            <w:r w:rsidRPr="002953C7">
              <w:rPr>
                <w:rFonts w:ascii="Arial" w:eastAsia="Times New Roman" w:hAnsi="Arial" w:cs="Arial"/>
                <w:b/>
                <w:bCs/>
                <w:color w:val="000000"/>
                <w:kern w:val="0"/>
                <w:sz w:val="22"/>
                <w:szCs w:val="22"/>
                <w:lang w:eastAsia="el-GR"/>
                <w14:ligatures w14:val="none"/>
              </w:rPr>
              <w:t xml:space="preserve">εια. </w:t>
            </w:r>
          </w:p>
        </w:tc>
      </w:tr>
      <w:tr w:rsidR="00C34C32" w:rsidRPr="000D22FF" w14:paraId="58006F38" w14:textId="77777777" w:rsidTr="00C34C32">
        <w:trPr>
          <w:cantSplit/>
          <w:trHeight w:val="1631"/>
          <w:jc w:val="center"/>
        </w:trPr>
        <w:tc>
          <w:tcPr>
            <w:tcW w:w="2127" w:type="dxa"/>
            <w:vMerge/>
            <w:tcBorders>
              <w:left w:val="single" w:sz="4" w:space="0" w:color="auto"/>
              <w:bottom w:val="single" w:sz="4" w:space="0" w:color="auto"/>
              <w:right w:val="single" w:sz="4" w:space="0" w:color="auto"/>
            </w:tcBorders>
          </w:tcPr>
          <w:p w14:paraId="0D2C8336" w14:textId="77777777" w:rsidR="00C34C32" w:rsidRPr="000D22FF" w:rsidRDefault="00C34C32" w:rsidP="000D22FF">
            <w:pPr>
              <w:spacing w:after="0" w:line="240" w:lineRule="auto"/>
              <w:rPr>
                <w:rFonts w:ascii="Arial" w:eastAsia="Times New Roman" w:hAnsi="Arial" w:cs="Arial"/>
                <w:color w:val="000000"/>
                <w:kern w:val="0"/>
                <w:sz w:val="22"/>
                <w:szCs w:val="22"/>
                <w:lang w:eastAsia="el-GR"/>
                <w14:ligatures w14:val="none"/>
              </w:rPr>
            </w:pPr>
          </w:p>
        </w:tc>
        <w:tc>
          <w:tcPr>
            <w:tcW w:w="1276" w:type="dxa"/>
            <w:tcBorders>
              <w:top w:val="nil"/>
              <w:left w:val="nil"/>
              <w:bottom w:val="single" w:sz="4" w:space="0" w:color="auto"/>
              <w:right w:val="single" w:sz="4" w:space="0" w:color="auto"/>
            </w:tcBorders>
          </w:tcPr>
          <w:p w14:paraId="7FB27126" w14:textId="69F6EB8C" w:rsidR="00C34C32" w:rsidRPr="000D22FF" w:rsidRDefault="00C34C32" w:rsidP="00BD41FD">
            <w:pPr>
              <w:spacing w:after="0" w:line="240" w:lineRule="auto"/>
              <w:jc w:val="both"/>
              <w:rPr>
                <w:rFonts w:ascii="Arial" w:eastAsia="Times New Roman" w:hAnsi="Arial" w:cs="Arial"/>
                <w:b/>
                <w:bCs/>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 xml:space="preserve">81(1) </w:t>
            </w:r>
            <w:r w:rsidRPr="000D22FF">
              <w:rPr>
                <w:rFonts w:ascii="Arial" w:eastAsia="Times New Roman" w:hAnsi="Arial" w:cs="Arial"/>
                <w:b/>
                <w:bCs/>
                <w:color w:val="000000"/>
                <w:kern w:val="0"/>
                <w:sz w:val="22"/>
                <w:szCs w:val="22"/>
                <w:lang w:eastAsia="el-GR"/>
                <w14:ligatures w14:val="none"/>
              </w:rPr>
              <w:br/>
              <w:t>3</w:t>
            </w:r>
            <w:r w:rsidRPr="000D22FF">
              <w:rPr>
                <w:rFonts w:ascii="Arial" w:eastAsia="Times New Roman" w:hAnsi="Arial" w:cs="Arial"/>
                <w:b/>
                <w:bCs/>
                <w:color w:val="000000"/>
                <w:kern w:val="0"/>
                <w:sz w:val="22"/>
                <w:szCs w:val="22"/>
                <w:vertAlign w:val="superscript"/>
                <w:lang w:eastAsia="el-GR"/>
                <w14:ligatures w14:val="none"/>
              </w:rPr>
              <w:t>r</w:t>
            </w:r>
            <w:r w:rsidRPr="000D22FF">
              <w:rPr>
                <w:rFonts w:ascii="Arial" w:eastAsia="Times New Roman" w:hAnsi="Arial" w:cs="Arial"/>
                <w:b/>
                <w:bCs/>
                <w:color w:val="000000"/>
                <w:kern w:val="0"/>
                <w:sz w:val="22"/>
                <w:szCs w:val="22"/>
                <w:vertAlign w:val="superscript"/>
                <w:lang w:val="en-GB" w:eastAsia="el-GR"/>
                <w14:ligatures w14:val="none"/>
              </w:rPr>
              <w:t>d</w:t>
            </w:r>
            <w:r w:rsidRPr="000D22FF">
              <w:rPr>
                <w:rFonts w:ascii="Arial" w:eastAsia="Times New Roman" w:hAnsi="Arial" w:cs="Arial"/>
                <w:b/>
                <w:bCs/>
                <w:color w:val="000000"/>
                <w:kern w:val="0"/>
                <w:sz w:val="22"/>
                <w:szCs w:val="22"/>
                <w:lang w:val="en-GB" w:eastAsia="el-GR"/>
                <w14:ligatures w14:val="none"/>
              </w:rPr>
              <w:t xml:space="preserve">  </w:t>
            </w:r>
            <w:r w:rsidRPr="000D22FF">
              <w:rPr>
                <w:rFonts w:ascii="Arial" w:eastAsia="Times New Roman" w:hAnsi="Arial" w:cs="Arial"/>
                <w:b/>
                <w:bCs/>
                <w:color w:val="000000"/>
                <w:kern w:val="0"/>
                <w:sz w:val="22"/>
                <w:szCs w:val="22"/>
                <w:lang w:eastAsia="el-GR"/>
                <w14:ligatures w14:val="none"/>
              </w:rPr>
              <w:t xml:space="preserve"> </w:t>
            </w:r>
            <w:proofErr w:type="spellStart"/>
            <w:r w:rsidRPr="000D22FF">
              <w:rPr>
                <w:rFonts w:ascii="Arial" w:eastAsia="Times New Roman" w:hAnsi="Arial" w:cs="Arial"/>
                <w:b/>
                <w:bCs/>
                <w:color w:val="000000"/>
                <w:kern w:val="0"/>
                <w:sz w:val="22"/>
                <w:szCs w:val="22"/>
                <w:lang w:eastAsia="el-GR"/>
                <w14:ligatures w14:val="none"/>
              </w:rPr>
              <w:t>subp</w:t>
            </w:r>
            <w:proofErr w:type="spellEnd"/>
            <w:r w:rsidRPr="000D22FF">
              <w:rPr>
                <w:rFonts w:ascii="Arial" w:eastAsia="Times New Roman" w:hAnsi="Arial" w:cs="Arial"/>
                <w:b/>
                <w:bCs/>
                <w:color w:val="000000"/>
                <w:kern w:val="0"/>
                <w:sz w:val="22"/>
                <w:szCs w:val="22"/>
                <w:lang w:eastAsia="el-GR"/>
                <w14:ligatures w14:val="none"/>
              </w:rPr>
              <w:t>.</w:t>
            </w:r>
          </w:p>
        </w:tc>
        <w:tc>
          <w:tcPr>
            <w:tcW w:w="7654" w:type="dxa"/>
            <w:tcBorders>
              <w:top w:val="nil"/>
              <w:left w:val="nil"/>
              <w:bottom w:val="single" w:sz="4" w:space="0" w:color="auto"/>
              <w:right w:val="single" w:sz="4" w:space="0" w:color="auto"/>
            </w:tcBorders>
          </w:tcPr>
          <w:p w14:paraId="7BABCA65" w14:textId="51AE3569" w:rsidR="00C34C32" w:rsidRPr="000D22FF" w:rsidRDefault="00C34C32" w:rsidP="00BD41FD">
            <w:pPr>
              <w:spacing w:after="0" w:line="240" w:lineRule="auto"/>
              <w:jc w:val="both"/>
              <w:rPr>
                <w:rFonts w:ascii="Arial" w:eastAsia="Times New Roman" w:hAnsi="Arial" w:cs="Arial"/>
                <w:color w:val="000000"/>
                <w:kern w:val="0"/>
                <w:sz w:val="22"/>
                <w:szCs w:val="22"/>
                <w:lang w:eastAsia="el-GR"/>
                <w14:ligatures w14:val="none"/>
              </w:rPr>
            </w:pPr>
            <w:r w:rsidRPr="000D22FF">
              <w:rPr>
                <w:rFonts w:ascii="Arial" w:eastAsia="Times New Roman" w:hAnsi="Arial" w:cs="Arial"/>
                <w:b/>
                <w:bCs/>
                <w:color w:val="000000"/>
                <w:kern w:val="0"/>
                <w:sz w:val="22"/>
                <w:szCs w:val="22"/>
                <w:lang w:eastAsia="el-GR"/>
                <w14:ligatures w14:val="none"/>
              </w:rPr>
              <w:t>Τα κράτη μέλη μπορούν</w:t>
            </w:r>
            <w:r w:rsidRPr="000D22FF">
              <w:rPr>
                <w:rFonts w:ascii="Arial" w:eastAsia="Times New Roman" w:hAnsi="Arial" w:cs="Arial"/>
                <w:color w:val="000000"/>
                <w:kern w:val="0"/>
                <w:sz w:val="22"/>
                <w:szCs w:val="22"/>
                <w:lang w:eastAsia="el-GR"/>
                <w14:ligatures w14:val="none"/>
              </w:rPr>
              <w:t xml:space="preserve"> να χρησιμοποιούν την ίδια διοικητική δομή για τις ρυθμίσεις χρηματοδότησής τους όπως και για τα συστήματα εγγύησης ασφάλισης, λαμβάνοντας υπόψη τον κανονισμό (ΕΚ) αριθ. 883/2004 του Ευρωπαϊκού Κοινοβουλίου και του Συμβουλίου.</w:t>
            </w:r>
          </w:p>
        </w:tc>
        <w:tc>
          <w:tcPr>
            <w:tcW w:w="4111" w:type="dxa"/>
            <w:tcBorders>
              <w:top w:val="nil"/>
              <w:left w:val="nil"/>
              <w:bottom w:val="single" w:sz="4" w:space="0" w:color="auto"/>
              <w:right w:val="single" w:sz="4" w:space="0" w:color="auto"/>
            </w:tcBorders>
            <w:shd w:val="clear" w:color="auto" w:fill="F6C5AC" w:themeFill="accent2" w:themeFillTint="66"/>
          </w:tcPr>
          <w:p w14:paraId="4201BEC5" w14:textId="0240826B" w:rsidR="00C34C32" w:rsidRPr="000D22FF" w:rsidRDefault="00C34C32" w:rsidP="00BD41FD">
            <w:pPr>
              <w:spacing w:after="0" w:line="240" w:lineRule="auto"/>
              <w:jc w:val="both"/>
              <w:rPr>
                <w:rFonts w:ascii="Arial" w:eastAsia="Times New Roman" w:hAnsi="Arial" w:cs="Arial"/>
                <w:b/>
                <w:bCs/>
                <w:color w:val="000000"/>
                <w:kern w:val="0"/>
                <w:sz w:val="22"/>
                <w:szCs w:val="22"/>
                <w:lang w:eastAsia="el-GR"/>
                <w14:ligatures w14:val="none"/>
              </w:rPr>
            </w:pPr>
            <w:r>
              <w:rPr>
                <w:rFonts w:ascii="Arial" w:eastAsia="Times New Roman" w:hAnsi="Arial" w:cs="Arial"/>
                <w:b/>
                <w:bCs/>
                <w:color w:val="000000"/>
                <w:kern w:val="0"/>
                <w:sz w:val="22"/>
                <w:szCs w:val="22"/>
                <w:lang w:eastAsia="el-GR"/>
                <w14:ligatures w14:val="none"/>
              </w:rPr>
              <w:t>Δεν ασκήθηκε</w:t>
            </w:r>
            <w:r w:rsidRPr="000D22FF">
              <w:rPr>
                <w:rFonts w:ascii="Arial" w:eastAsia="Times New Roman" w:hAnsi="Arial" w:cs="Arial"/>
                <w:b/>
                <w:bCs/>
                <w:color w:val="000000"/>
                <w:kern w:val="0"/>
                <w:sz w:val="22"/>
                <w:szCs w:val="22"/>
                <w:lang w:eastAsia="el-GR"/>
                <w14:ligatures w14:val="none"/>
              </w:rPr>
              <w:t xml:space="preserve"> η ευχέρεια. </w:t>
            </w:r>
          </w:p>
        </w:tc>
      </w:tr>
    </w:tbl>
    <w:p w14:paraId="79ED93AC" w14:textId="77777777" w:rsidR="00097F74" w:rsidRPr="003365BB" w:rsidRDefault="00097F74"/>
    <w:sectPr w:rsidR="00097F74" w:rsidRPr="003365BB" w:rsidSect="00531694">
      <w:footerReference w:type="default" r:id="rId6"/>
      <w:pgSz w:w="16838" w:h="11906" w:orient="landscape"/>
      <w:pgMar w:top="851"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EEB68" w14:textId="77777777" w:rsidR="00B6648E" w:rsidRDefault="00B6648E" w:rsidP="00E83133">
      <w:pPr>
        <w:spacing w:after="0" w:line="240" w:lineRule="auto"/>
      </w:pPr>
      <w:r>
        <w:separator/>
      </w:r>
    </w:p>
  </w:endnote>
  <w:endnote w:type="continuationSeparator" w:id="0">
    <w:p w14:paraId="2DE45C57" w14:textId="77777777" w:rsidR="00B6648E" w:rsidRDefault="00B6648E" w:rsidP="00E83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5141641"/>
      <w:docPartObj>
        <w:docPartGallery w:val="Page Numbers (Bottom of Page)"/>
        <w:docPartUnique/>
      </w:docPartObj>
    </w:sdtPr>
    <w:sdtEndPr>
      <w:rPr>
        <w:noProof/>
      </w:rPr>
    </w:sdtEndPr>
    <w:sdtContent>
      <w:p w14:paraId="5DB98371" w14:textId="2D9EB681" w:rsidR="00E83133" w:rsidRDefault="00E831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F3B7014" w14:textId="77777777" w:rsidR="00E83133" w:rsidRDefault="00E831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28900" w14:textId="77777777" w:rsidR="00B6648E" w:rsidRDefault="00B6648E" w:rsidP="00E83133">
      <w:pPr>
        <w:spacing w:after="0" w:line="240" w:lineRule="auto"/>
      </w:pPr>
      <w:r>
        <w:separator/>
      </w:r>
    </w:p>
  </w:footnote>
  <w:footnote w:type="continuationSeparator" w:id="0">
    <w:p w14:paraId="03E9D6A4" w14:textId="77777777" w:rsidR="00B6648E" w:rsidRDefault="00B6648E" w:rsidP="00E831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4C3"/>
    <w:rsid w:val="00036AE0"/>
    <w:rsid w:val="00040B1A"/>
    <w:rsid w:val="000727CB"/>
    <w:rsid w:val="00097F74"/>
    <w:rsid w:val="000A6A09"/>
    <w:rsid w:val="000D22FF"/>
    <w:rsid w:val="00102741"/>
    <w:rsid w:val="00126C24"/>
    <w:rsid w:val="00132266"/>
    <w:rsid w:val="00134504"/>
    <w:rsid w:val="00137A17"/>
    <w:rsid w:val="00156898"/>
    <w:rsid w:val="00180096"/>
    <w:rsid w:val="001834C3"/>
    <w:rsid w:val="001905C7"/>
    <w:rsid w:val="00195499"/>
    <w:rsid w:val="001A79FF"/>
    <w:rsid w:val="001B687B"/>
    <w:rsid w:val="001D099B"/>
    <w:rsid w:val="001D2087"/>
    <w:rsid w:val="00213A66"/>
    <w:rsid w:val="00274A13"/>
    <w:rsid w:val="002953C7"/>
    <w:rsid w:val="002A0C9C"/>
    <w:rsid w:val="002C6B68"/>
    <w:rsid w:val="00321F1D"/>
    <w:rsid w:val="003260EF"/>
    <w:rsid w:val="003365BB"/>
    <w:rsid w:val="003637E7"/>
    <w:rsid w:val="0037515A"/>
    <w:rsid w:val="003B2CF8"/>
    <w:rsid w:val="003C0C20"/>
    <w:rsid w:val="003C48BA"/>
    <w:rsid w:val="003D5ADE"/>
    <w:rsid w:val="003F06C7"/>
    <w:rsid w:val="00427FCD"/>
    <w:rsid w:val="004324D8"/>
    <w:rsid w:val="004479D5"/>
    <w:rsid w:val="00474257"/>
    <w:rsid w:val="00487309"/>
    <w:rsid w:val="004D631C"/>
    <w:rsid w:val="004F3A7C"/>
    <w:rsid w:val="005115D3"/>
    <w:rsid w:val="00531694"/>
    <w:rsid w:val="0057453D"/>
    <w:rsid w:val="00586E17"/>
    <w:rsid w:val="005B322C"/>
    <w:rsid w:val="005B7AE5"/>
    <w:rsid w:val="006169C2"/>
    <w:rsid w:val="00623770"/>
    <w:rsid w:val="006300D8"/>
    <w:rsid w:val="0064078C"/>
    <w:rsid w:val="0066313E"/>
    <w:rsid w:val="006D65C7"/>
    <w:rsid w:val="00710F63"/>
    <w:rsid w:val="007642B0"/>
    <w:rsid w:val="00797E36"/>
    <w:rsid w:val="007A5071"/>
    <w:rsid w:val="007F70C4"/>
    <w:rsid w:val="00821867"/>
    <w:rsid w:val="008360FE"/>
    <w:rsid w:val="00841055"/>
    <w:rsid w:val="00863113"/>
    <w:rsid w:val="00873B86"/>
    <w:rsid w:val="00885768"/>
    <w:rsid w:val="00891968"/>
    <w:rsid w:val="008978FD"/>
    <w:rsid w:val="008A3373"/>
    <w:rsid w:val="008B5CC3"/>
    <w:rsid w:val="008E70BD"/>
    <w:rsid w:val="00930EE8"/>
    <w:rsid w:val="00963BCA"/>
    <w:rsid w:val="00966BE7"/>
    <w:rsid w:val="009A0BD3"/>
    <w:rsid w:val="009E1D83"/>
    <w:rsid w:val="009E73B0"/>
    <w:rsid w:val="00A10142"/>
    <w:rsid w:val="00A12279"/>
    <w:rsid w:val="00A42C7E"/>
    <w:rsid w:val="00A70750"/>
    <w:rsid w:val="00A8086F"/>
    <w:rsid w:val="00AC10D0"/>
    <w:rsid w:val="00AD65BC"/>
    <w:rsid w:val="00AE70AD"/>
    <w:rsid w:val="00B019B5"/>
    <w:rsid w:val="00B2289A"/>
    <w:rsid w:val="00B22B4E"/>
    <w:rsid w:val="00B331EE"/>
    <w:rsid w:val="00B36391"/>
    <w:rsid w:val="00B6648E"/>
    <w:rsid w:val="00B6794C"/>
    <w:rsid w:val="00B77625"/>
    <w:rsid w:val="00B96D37"/>
    <w:rsid w:val="00BB57EA"/>
    <w:rsid w:val="00BD41FD"/>
    <w:rsid w:val="00BE310A"/>
    <w:rsid w:val="00C01E58"/>
    <w:rsid w:val="00C24A4E"/>
    <w:rsid w:val="00C26D23"/>
    <w:rsid w:val="00C34C32"/>
    <w:rsid w:val="00C66743"/>
    <w:rsid w:val="00C81BC7"/>
    <w:rsid w:val="00C87C93"/>
    <w:rsid w:val="00C9084B"/>
    <w:rsid w:val="00C90C67"/>
    <w:rsid w:val="00CA27DD"/>
    <w:rsid w:val="00CD1A55"/>
    <w:rsid w:val="00CD6D4A"/>
    <w:rsid w:val="00CF2F13"/>
    <w:rsid w:val="00D244EC"/>
    <w:rsid w:val="00D7424C"/>
    <w:rsid w:val="00D934F8"/>
    <w:rsid w:val="00DC2BF6"/>
    <w:rsid w:val="00E318DA"/>
    <w:rsid w:val="00E83133"/>
    <w:rsid w:val="00ED17F8"/>
    <w:rsid w:val="00ED3129"/>
    <w:rsid w:val="00F01C2B"/>
    <w:rsid w:val="00F473FA"/>
    <w:rsid w:val="00F56291"/>
    <w:rsid w:val="00F97D2F"/>
    <w:rsid w:val="00FB7B6C"/>
    <w:rsid w:val="00FC533D"/>
    <w:rsid w:val="00FC651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B92B3"/>
  <w15:chartTrackingRefBased/>
  <w15:docId w15:val="{39F5DA2F-0EE1-48CD-AFAB-FE4DAEFDB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34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34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34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34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34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34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34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34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34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4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34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34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34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34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34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34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34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34C3"/>
    <w:rPr>
      <w:rFonts w:eastAsiaTheme="majorEastAsia" w:cstheme="majorBidi"/>
      <w:color w:val="272727" w:themeColor="text1" w:themeTint="D8"/>
    </w:rPr>
  </w:style>
  <w:style w:type="paragraph" w:styleId="Title">
    <w:name w:val="Title"/>
    <w:basedOn w:val="Normal"/>
    <w:next w:val="Normal"/>
    <w:link w:val="TitleChar"/>
    <w:uiPriority w:val="10"/>
    <w:qFormat/>
    <w:rsid w:val="001834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34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34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34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34C3"/>
    <w:pPr>
      <w:spacing w:before="160"/>
      <w:jc w:val="center"/>
    </w:pPr>
    <w:rPr>
      <w:i/>
      <w:iCs/>
      <w:color w:val="404040" w:themeColor="text1" w:themeTint="BF"/>
    </w:rPr>
  </w:style>
  <w:style w:type="character" w:customStyle="1" w:styleId="QuoteChar">
    <w:name w:val="Quote Char"/>
    <w:basedOn w:val="DefaultParagraphFont"/>
    <w:link w:val="Quote"/>
    <w:uiPriority w:val="29"/>
    <w:rsid w:val="001834C3"/>
    <w:rPr>
      <w:i/>
      <w:iCs/>
      <w:color w:val="404040" w:themeColor="text1" w:themeTint="BF"/>
    </w:rPr>
  </w:style>
  <w:style w:type="paragraph" w:styleId="ListParagraph">
    <w:name w:val="List Paragraph"/>
    <w:basedOn w:val="Normal"/>
    <w:uiPriority w:val="34"/>
    <w:qFormat/>
    <w:rsid w:val="001834C3"/>
    <w:pPr>
      <w:ind w:left="720"/>
      <w:contextualSpacing/>
    </w:pPr>
  </w:style>
  <w:style w:type="character" w:styleId="IntenseEmphasis">
    <w:name w:val="Intense Emphasis"/>
    <w:basedOn w:val="DefaultParagraphFont"/>
    <w:uiPriority w:val="21"/>
    <w:qFormat/>
    <w:rsid w:val="001834C3"/>
    <w:rPr>
      <w:i/>
      <w:iCs/>
      <w:color w:val="0F4761" w:themeColor="accent1" w:themeShade="BF"/>
    </w:rPr>
  </w:style>
  <w:style w:type="paragraph" w:styleId="IntenseQuote">
    <w:name w:val="Intense Quote"/>
    <w:basedOn w:val="Normal"/>
    <w:next w:val="Normal"/>
    <w:link w:val="IntenseQuoteChar"/>
    <w:uiPriority w:val="30"/>
    <w:qFormat/>
    <w:rsid w:val="001834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34C3"/>
    <w:rPr>
      <w:i/>
      <w:iCs/>
      <w:color w:val="0F4761" w:themeColor="accent1" w:themeShade="BF"/>
    </w:rPr>
  </w:style>
  <w:style w:type="character" w:styleId="IntenseReference">
    <w:name w:val="Intense Reference"/>
    <w:basedOn w:val="DefaultParagraphFont"/>
    <w:uiPriority w:val="32"/>
    <w:qFormat/>
    <w:rsid w:val="001834C3"/>
    <w:rPr>
      <w:b/>
      <w:bCs/>
      <w:smallCaps/>
      <w:color w:val="0F4761" w:themeColor="accent1" w:themeShade="BF"/>
      <w:spacing w:val="5"/>
    </w:rPr>
  </w:style>
  <w:style w:type="paragraph" w:styleId="Revision">
    <w:name w:val="Revision"/>
    <w:hidden/>
    <w:uiPriority w:val="99"/>
    <w:semiHidden/>
    <w:rsid w:val="00B019B5"/>
    <w:pPr>
      <w:spacing w:after="0" w:line="240" w:lineRule="auto"/>
    </w:pPr>
  </w:style>
  <w:style w:type="character" w:styleId="CommentReference">
    <w:name w:val="annotation reference"/>
    <w:basedOn w:val="DefaultParagraphFont"/>
    <w:uiPriority w:val="99"/>
    <w:semiHidden/>
    <w:unhideWhenUsed/>
    <w:rsid w:val="007A5071"/>
    <w:rPr>
      <w:sz w:val="16"/>
      <w:szCs w:val="16"/>
    </w:rPr>
  </w:style>
  <w:style w:type="paragraph" w:styleId="CommentText">
    <w:name w:val="annotation text"/>
    <w:basedOn w:val="Normal"/>
    <w:link w:val="CommentTextChar"/>
    <w:uiPriority w:val="99"/>
    <w:unhideWhenUsed/>
    <w:rsid w:val="007A5071"/>
    <w:pPr>
      <w:spacing w:line="240" w:lineRule="auto"/>
    </w:pPr>
    <w:rPr>
      <w:sz w:val="20"/>
      <w:szCs w:val="20"/>
    </w:rPr>
  </w:style>
  <w:style w:type="character" w:customStyle="1" w:styleId="CommentTextChar">
    <w:name w:val="Comment Text Char"/>
    <w:basedOn w:val="DefaultParagraphFont"/>
    <w:link w:val="CommentText"/>
    <w:uiPriority w:val="99"/>
    <w:rsid w:val="007A5071"/>
    <w:rPr>
      <w:sz w:val="20"/>
      <w:szCs w:val="20"/>
    </w:rPr>
  </w:style>
  <w:style w:type="paragraph" w:styleId="CommentSubject">
    <w:name w:val="annotation subject"/>
    <w:basedOn w:val="CommentText"/>
    <w:next w:val="CommentText"/>
    <w:link w:val="CommentSubjectChar"/>
    <w:uiPriority w:val="99"/>
    <w:semiHidden/>
    <w:unhideWhenUsed/>
    <w:rsid w:val="007A5071"/>
    <w:rPr>
      <w:b/>
      <w:bCs/>
    </w:rPr>
  </w:style>
  <w:style w:type="character" w:customStyle="1" w:styleId="CommentSubjectChar">
    <w:name w:val="Comment Subject Char"/>
    <w:basedOn w:val="CommentTextChar"/>
    <w:link w:val="CommentSubject"/>
    <w:uiPriority w:val="99"/>
    <w:semiHidden/>
    <w:rsid w:val="007A5071"/>
    <w:rPr>
      <w:b/>
      <w:bCs/>
      <w:sz w:val="20"/>
      <w:szCs w:val="20"/>
    </w:rPr>
  </w:style>
  <w:style w:type="paragraph" w:styleId="Header">
    <w:name w:val="header"/>
    <w:basedOn w:val="Normal"/>
    <w:link w:val="HeaderChar"/>
    <w:uiPriority w:val="99"/>
    <w:unhideWhenUsed/>
    <w:rsid w:val="00E83133"/>
    <w:pPr>
      <w:tabs>
        <w:tab w:val="center" w:pos="4153"/>
        <w:tab w:val="right" w:pos="8306"/>
      </w:tabs>
      <w:spacing w:after="0" w:line="240" w:lineRule="auto"/>
    </w:pPr>
  </w:style>
  <w:style w:type="character" w:customStyle="1" w:styleId="HeaderChar">
    <w:name w:val="Header Char"/>
    <w:basedOn w:val="DefaultParagraphFont"/>
    <w:link w:val="Header"/>
    <w:uiPriority w:val="99"/>
    <w:rsid w:val="00E83133"/>
  </w:style>
  <w:style w:type="paragraph" w:styleId="Footer">
    <w:name w:val="footer"/>
    <w:basedOn w:val="Normal"/>
    <w:link w:val="FooterChar"/>
    <w:uiPriority w:val="99"/>
    <w:unhideWhenUsed/>
    <w:rsid w:val="00E83133"/>
    <w:pPr>
      <w:tabs>
        <w:tab w:val="center" w:pos="4153"/>
        <w:tab w:val="right" w:pos="8306"/>
      </w:tabs>
      <w:spacing w:after="0" w:line="240" w:lineRule="auto"/>
    </w:pPr>
  </w:style>
  <w:style w:type="character" w:customStyle="1" w:styleId="FooterChar">
    <w:name w:val="Footer Char"/>
    <w:basedOn w:val="DefaultParagraphFont"/>
    <w:link w:val="Footer"/>
    <w:uiPriority w:val="99"/>
    <w:rsid w:val="00E831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996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Central Bank of Cyprus</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N Hadjineophytou</dc:creator>
  <cp:keywords/>
  <dc:description/>
  <cp:lastModifiedBy>Sophia Petrou</cp:lastModifiedBy>
  <cp:revision>12</cp:revision>
  <cp:lastPrinted>2025-06-05T10:47:00Z</cp:lastPrinted>
  <dcterms:created xsi:type="dcterms:W3CDTF">2026-06-04T10:13:00Z</dcterms:created>
  <dcterms:modified xsi:type="dcterms:W3CDTF">2026-07-10T10:23:00Z</dcterms:modified>
</cp:coreProperties>
</file>